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120"/>
      </w:pPr>
      <w:r>
        <w:rPr>
          <w:b w:val="0"/>
          <w:i w:val="0"/>
          <w:sz w:val="22"/>
        </w:rPr>
        <w:t>Question: Which medication is the first-line treatment for an acute manic episode of bipolar disorder?</w:t>
      </w:r>
    </w:p>
    <w:p>
      <w:pPr>
        <w:spacing w:after="0" w:before="0"/>
      </w:pPr>
      <w:r>
        <w:rPr>
          <w:b w:val="0"/>
          <w:i w:val="0"/>
          <w:sz w:val="22"/>
        </w:rPr>
        <w:t>(a) Fluoxetine</w:t>
      </w:r>
    </w:p>
    <w:p>
      <w:pPr>
        <w:spacing w:after="0" w:before="0"/>
      </w:pPr>
      <w:r>
        <w:rPr>
          <w:b w:val="0"/>
          <w:i w:val="0"/>
          <w:sz w:val="22"/>
        </w:rPr>
        <w:t>(b) Bupropion</w:t>
      </w:r>
    </w:p>
    <w:p>
      <w:pPr>
        <w:spacing w:after="0" w:before="0"/>
      </w:pPr>
      <w:r>
        <w:rPr>
          <w:b w:val="0"/>
          <w:i w:val="0"/>
          <w:sz w:val="22"/>
        </w:rPr>
        <w:t>(c) Trazodone</w:t>
      </w:r>
    </w:p>
    <w:p>
      <w:pPr>
        <w:spacing w:after="0" w:before="0"/>
      </w:pPr>
      <w:r>
        <w:rPr>
          <w:b w:val="0"/>
          <w:i w:val="0"/>
          <w:sz w:val="22"/>
        </w:rPr>
        <w:t>(d) Lithium</w:t>
      </w:r>
    </w:p>
    <w:p>
      <w:pPr>
        <w:spacing w:after="0" w:before="40"/>
      </w:pPr>
      <w:r>
        <w:rPr>
          <w:b/>
          <w:i w:val="0"/>
          <w:sz w:val="22"/>
        </w:rPr>
        <w:t>Answer: d</w:t>
      </w:r>
    </w:p>
    <w:p>
      <w:pPr>
        <w:spacing w:after="0" w:before="0"/>
      </w:pPr>
      <w:r>
        <w:rPr>
          <w:b w:val="0"/>
          <w:i w:val="0"/>
          <w:sz w:val="21"/>
        </w:rPr>
        <w:t>Solution: Lithium remains a first-line mood stabiliser for acute mania and prophylaxis of bipolar disorder, though atypical antipsychotics or valproate may be used alone or in combination. Antidepressants such as fluoxetine can precipitate mania and are avoided during an acute manic phase.</w:t>
      </w:r>
    </w:p>
    <w:p>
      <w:pPr>
        <w:spacing w:after="0" w:before="0"/>
      </w:pPr>
      <w:r>
        <w:rPr>
          <w:b w:val="0"/>
          <w:i w:val="0"/>
          <w:sz w:val="20"/>
        </w:rPr>
        <w:t>Positive Marks: 1</w:t>
      </w:r>
    </w:p>
    <w:p>
      <w:pPr>
        <w:spacing w:after="160" w:before="0"/>
      </w:pPr>
      <w:r>
        <w:rPr>
          <w:b w:val="0"/>
          <w:i w:val="0"/>
          <w:sz w:val="20"/>
        </w:rPr>
        <w:t>Negative Marks: 0.33</w:t>
      </w:r>
    </w:p>
    <w:p>
      <w:pPr>
        <w:spacing w:after="40" w:before="120"/>
      </w:pPr>
      <w:r>
        <w:rPr>
          <w:b w:val="0"/>
          <w:i w:val="0"/>
          <w:sz w:val="22"/>
        </w:rPr>
        <w:t>Question: A client with post-traumatic stress disorder is asked to repeatedly imagine the traumatic event in a safe setting until the distress decreases. Which therapy is this?</w:t>
      </w:r>
    </w:p>
    <w:p>
      <w:pPr>
        <w:spacing w:after="0" w:before="0"/>
      </w:pPr>
      <w:r>
        <w:rPr>
          <w:b w:val="0"/>
          <w:i w:val="0"/>
          <w:sz w:val="22"/>
        </w:rPr>
        <w:t>(a) Prolonged exposure therapy</w:t>
      </w:r>
    </w:p>
    <w:p>
      <w:pPr>
        <w:spacing w:after="0" w:before="0"/>
      </w:pPr>
      <w:r>
        <w:rPr>
          <w:b w:val="0"/>
          <w:i w:val="0"/>
          <w:sz w:val="22"/>
        </w:rPr>
        <w:t>(b) Token economy</w:t>
      </w:r>
    </w:p>
    <w:p>
      <w:pPr>
        <w:spacing w:after="0" w:before="0"/>
      </w:pPr>
      <w:r>
        <w:rPr>
          <w:b w:val="0"/>
          <w:i w:val="0"/>
          <w:sz w:val="22"/>
        </w:rPr>
        <w:t>(c) Cognitive restructuring</w:t>
      </w:r>
    </w:p>
    <w:p>
      <w:pPr>
        <w:spacing w:after="0" w:before="0"/>
      </w:pPr>
      <w:r>
        <w:rPr>
          <w:b w:val="0"/>
          <w:i w:val="0"/>
          <w:sz w:val="22"/>
        </w:rPr>
        <w:t>(d) Milieu therapy</w:t>
      </w:r>
    </w:p>
    <w:p>
      <w:pPr>
        <w:spacing w:after="0" w:before="40"/>
      </w:pPr>
      <w:r>
        <w:rPr>
          <w:b/>
          <w:i w:val="0"/>
          <w:sz w:val="22"/>
        </w:rPr>
        <w:t>Answer: a</w:t>
      </w:r>
    </w:p>
    <w:p>
      <w:pPr>
        <w:spacing w:after="0" w:before="0"/>
      </w:pPr>
      <w:r>
        <w:rPr>
          <w:b w:val="0"/>
          <w:i w:val="0"/>
          <w:sz w:val="21"/>
        </w:rPr>
        <w:t>Solution: Prolonged exposure therapy for PTSD involves repeated, controlled confrontation with the trauma memory and avoided situations so the fear response habituates. Cognitive restructuring changes distorted thoughts; token economy reinforces behaviour; milieu therapy uses the therapeutic environment.</w:t>
      </w:r>
    </w:p>
    <w:p>
      <w:pPr>
        <w:spacing w:after="0" w:before="0"/>
      </w:pPr>
      <w:r>
        <w:rPr>
          <w:b w:val="0"/>
          <w:i w:val="0"/>
          <w:sz w:val="20"/>
        </w:rPr>
        <w:t>Positive Marks: 1</w:t>
      </w:r>
    </w:p>
    <w:p>
      <w:pPr>
        <w:spacing w:after="160" w:before="0"/>
      </w:pPr>
      <w:r>
        <w:rPr>
          <w:b w:val="0"/>
          <w:i w:val="0"/>
          <w:sz w:val="20"/>
        </w:rPr>
        <w:t>Negative Marks: 0.33</w:t>
      </w:r>
    </w:p>
    <w:p>
      <w:pPr>
        <w:spacing w:after="40" w:before="120"/>
      </w:pPr>
      <w:r>
        <w:rPr>
          <w:b w:val="0"/>
          <w:i w:val="0"/>
          <w:sz w:val="22"/>
        </w:rPr>
        <w:t>Question: Which sign indicates lithium toxicity that requires immediate attention?</w:t>
      </w:r>
    </w:p>
    <w:p>
      <w:pPr>
        <w:spacing w:after="0" w:before="0"/>
      </w:pPr>
      <w:r>
        <w:rPr>
          <w:b w:val="0"/>
          <w:i w:val="0"/>
          <w:sz w:val="22"/>
        </w:rPr>
        <w:t>(a) Tremor, ataxia, and confusion</w:t>
      </w:r>
    </w:p>
    <w:p>
      <w:pPr>
        <w:spacing w:after="0" w:before="0"/>
      </w:pPr>
      <w:r>
        <w:rPr>
          <w:b w:val="0"/>
          <w:i w:val="0"/>
          <w:sz w:val="22"/>
        </w:rPr>
        <w:t>(b) Slight hand tremor</w:t>
      </w:r>
    </w:p>
    <w:p>
      <w:pPr>
        <w:spacing w:after="0" w:before="0"/>
      </w:pPr>
      <w:r>
        <w:rPr>
          <w:b w:val="0"/>
          <w:i w:val="0"/>
          <w:sz w:val="22"/>
        </w:rPr>
        <w:t>(c) Mild thirst</w:t>
      </w:r>
    </w:p>
    <w:p>
      <w:pPr>
        <w:spacing w:after="0" w:before="0"/>
      </w:pPr>
      <w:r>
        <w:rPr>
          <w:b w:val="0"/>
          <w:i w:val="0"/>
          <w:sz w:val="22"/>
        </w:rPr>
        <w:t>(d) Weight gain</w:t>
      </w:r>
    </w:p>
    <w:p>
      <w:pPr>
        <w:spacing w:after="0" w:before="40"/>
      </w:pPr>
      <w:r>
        <w:rPr>
          <w:b/>
          <w:i w:val="0"/>
          <w:sz w:val="22"/>
        </w:rPr>
        <w:t>Answer: a</w:t>
      </w:r>
    </w:p>
    <w:p>
      <w:pPr>
        <w:spacing w:after="0" w:before="0"/>
      </w:pPr>
      <w:r>
        <w:rPr>
          <w:b w:val="0"/>
          <w:i w:val="0"/>
          <w:sz w:val="21"/>
        </w:rPr>
        <w:t>Solution: Early lithium toxicity presents with vomiting, diarrhoea, coarse tremor, ataxia, and drowsiness; severe toxicity causes confusion, seizures, and coma and is a medical emergency. Serum lithium should be monitored regularly, with therapeutic levels roughly 0.6-1.2 mEq/L for maintenance.</w:t>
      </w:r>
    </w:p>
    <w:p>
      <w:pPr>
        <w:spacing w:after="0" w:before="0"/>
      </w:pPr>
      <w:r>
        <w:rPr>
          <w:b w:val="0"/>
          <w:i w:val="0"/>
          <w:sz w:val="20"/>
        </w:rPr>
        <w:t>Positive Marks: 1</w:t>
      </w:r>
    </w:p>
    <w:p>
      <w:pPr>
        <w:spacing w:after="160" w:before="0"/>
      </w:pPr>
      <w:r>
        <w:rPr>
          <w:b w:val="0"/>
          <w:i w:val="0"/>
          <w:sz w:val="20"/>
        </w:rPr>
        <w:t>Negative Marks: 0.33</w:t>
      </w:r>
    </w:p>
    <w:p>
      <w:pPr>
        <w:spacing w:after="40" w:before="120"/>
      </w:pPr>
      <w:r>
        <w:rPr>
          <w:b w:val="0"/>
          <w:i w:val="0"/>
          <w:sz w:val="22"/>
        </w:rPr>
        <w:t>Question: Which disorder is characterised by repeated episodes of binge eating followed by self-induced vomiting or laxative misuse, with excessive concern about body weight?</w:t>
      </w:r>
    </w:p>
    <w:p>
      <w:pPr>
        <w:spacing w:after="0" w:before="0"/>
      </w:pPr>
      <w:r>
        <w:rPr>
          <w:b w:val="0"/>
          <w:i w:val="0"/>
          <w:sz w:val="22"/>
        </w:rPr>
        <w:t>(a) Pica</w:t>
      </w:r>
    </w:p>
    <w:p>
      <w:pPr>
        <w:spacing w:after="0" w:before="0"/>
      </w:pPr>
      <w:r>
        <w:rPr>
          <w:b w:val="0"/>
          <w:i w:val="0"/>
          <w:sz w:val="22"/>
        </w:rPr>
        <w:t>(b) Bulimia nervosa</w:t>
      </w:r>
    </w:p>
    <w:p>
      <w:pPr>
        <w:spacing w:after="0" w:before="0"/>
      </w:pPr>
      <w:r>
        <w:rPr>
          <w:b w:val="0"/>
          <w:i w:val="0"/>
          <w:sz w:val="22"/>
        </w:rPr>
        <w:t>(c) Anorexia nervosa restricting type</w:t>
      </w:r>
    </w:p>
    <w:p>
      <w:pPr>
        <w:spacing w:after="0" w:before="0"/>
      </w:pPr>
      <w:r>
        <w:rPr>
          <w:b w:val="0"/>
          <w:i w:val="0"/>
          <w:sz w:val="22"/>
        </w:rPr>
        <w:t>(d) Binge eating disorder</w:t>
      </w:r>
    </w:p>
    <w:p>
      <w:pPr>
        <w:spacing w:after="0" w:before="40"/>
      </w:pPr>
      <w:r>
        <w:rPr>
          <w:b/>
          <w:i w:val="0"/>
          <w:sz w:val="22"/>
        </w:rPr>
        <w:t>Answer: b</w:t>
      </w:r>
    </w:p>
    <w:p>
      <w:pPr>
        <w:spacing w:after="0" w:before="0"/>
      </w:pPr>
      <w:r>
        <w:rPr>
          <w:b w:val="0"/>
          <w:i w:val="0"/>
          <w:sz w:val="21"/>
        </w:rPr>
        <w:t>Solution: Bulimia nervosa features recurrent binge episodes with compensatory behaviours such as vomiting, laxatives, or fasting, plus overvaluation of weight and shape. Anorexia nervosa involves low body weight with restrictive intake; binge eating disorder lacks compensatory behaviours; pica is eating non-food substances.</w:t>
      </w:r>
    </w:p>
    <w:p>
      <w:pPr>
        <w:spacing w:after="0" w:before="0"/>
      </w:pPr>
      <w:r>
        <w:rPr>
          <w:b w:val="0"/>
          <w:i w:val="0"/>
          <w:sz w:val="20"/>
        </w:rPr>
        <w:t>Positive Marks: 1</w:t>
      </w:r>
    </w:p>
    <w:p>
      <w:pPr>
        <w:spacing w:after="160" w:before="0"/>
      </w:pPr>
      <w:r>
        <w:rPr>
          <w:b w:val="0"/>
          <w:i w:val="0"/>
          <w:sz w:val="20"/>
        </w:rPr>
        <w:t>Negative Marks: 0.33</w:t>
      </w:r>
    </w:p>
    <w:p>
      <w:pPr>
        <w:spacing w:after="40" w:before="120"/>
      </w:pPr>
      <w:r>
        <w:rPr>
          <w:b w:val="0"/>
          <w:i w:val="0"/>
          <w:sz w:val="22"/>
        </w:rPr>
        <w:t>Question: Which nursing intervention is most appropriate for a client who is actively hallucinating?</w:t>
      </w:r>
    </w:p>
    <w:p>
      <w:pPr>
        <w:spacing w:after="0" w:before="0"/>
      </w:pPr>
      <w:r>
        <w:rPr>
          <w:b w:val="0"/>
          <w:i w:val="0"/>
          <w:sz w:val="22"/>
        </w:rPr>
        <w:t>(a) Speak calmly, do not argue with the hallucination, and redirect to reality</w:t>
      </w:r>
    </w:p>
    <w:p>
      <w:pPr>
        <w:spacing w:after="0" w:before="0"/>
      </w:pPr>
      <w:r>
        <w:rPr>
          <w:b w:val="0"/>
          <w:i w:val="0"/>
          <w:sz w:val="22"/>
        </w:rPr>
        <w:t>(b) Isolate the client until hallucinations stop</w:t>
      </w:r>
    </w:p>
    <w:p>
      <w:pPr>
        <w:spacing w:after="0" w:before="0"/>
      </w:pPr>
      <w:r>
        <w:rPr>
          <w:b w:val="0"/>
          <w:i w:val="0"/>
          <w:sz w:val="22"/>
        </w:rPr>
        <w:t>(c) Agree with the hallucination to reduce distress</w:t>
      </w:r>
    </w:p>
    <w:p>
      <w:pPr>
        <w:spacing w:after="0" w:before="0"/>
      </w:pPr>
      <w:r>
        <w:rPr>
          <w:b w:val="0"/>
          <w:i w:val="0"/>
          <w:sz w:val="22"/>
        </w:rPr>
        <w:t>(d) Tell the client firmly that the voices are imaginary</w:t>
      </w:r>
    </w:p>
    <w:p>
      <w:pPr>
        <w:spacing w:after="0" w:before="40"/>
      </w:pPr>
      <w:r>
        <w:rPr>
          <w:b/>
          <w:i w:val="0"/>
          <w:sz w:val="22"/>
        </w:rPr>
        <w:t>Answer: a</w:t>
      </w:r>
    </w:p>
    <w:p>
      <w:pPr>
        <w:spacing w:after="0" w:before="0"/>
      </w:pPr>
      <w:r>
        <w:rPr>
          <w:b w:val="0"/>
          <w:i w:val="0"/>
          <w:sz w:val="21"/>
        </w:rPr>
        <w:t>Solution: The nurse acknowledges the client's experience without arguing, uses a calm tone, and redirects to reality-oriented activities. Arguing or colluding with hallucinations increases anxiety; isolation may worsen symptoms. Medication and a structured, safe environment support recovery.</w:t>
      </w:r>
    </w:p>
    <w:p>
      <w:pPr>
        <w:spacing w:after="0" w:before="0"/>
      </w:pPr>
      <w:r>
        <w:rPr>
          <w:b w:val="0"/>
          <w:i w:val="0"/>
          <w:sz w:val="20"/>
        </w:rPr>
        <w:t>Positive Marks: 1</w:t>
      </w:r>
    </w:p>
    <w:p>
      <w:pPr>
        <w:spacing w:after="160" w:before="0"/>
      </w:pPr>
      <w:r>
        <w:rPr>
          <w:b w:val="0"/>
          <w:i w:val="0"/>
          <w:sz w:val="20"/>
        </w:rPr>
        <w:t>Negative Marks: 0.33</w:t>
      </w:r>
    </w:p>
    <w:p>
      <w:pPr>
        <w:spacing w:after="40" w:before="120"/>
      </w:pPr>
      <w:r>
        <w:rPr>
          <w:b w:val="0"/>
          <w:i w:val="0"/>
          <w:sz w:val="22"/>
        </w:rPr>
        <w:t>Question: A client suddenly develops intense fear, palpitations, shortness of breath, and a feeling of impending doom that peaks within minutes. The client worries about when the next attack will occur. Which disorder is most likely?</w:t>
      </w:r>
    </w:p>
    <w:p>
      <w:pPr>
        <w:spacing w:after="0" w:before="0"/>
      </w:pPr>
      <w:r>
        <w:rPr>
          <w:b w:val="0"/>
          <w:i w:val="0"/>
          <w:sz w:val="22"/>
        </w:rPr>
        <w:t>(a) Specific phobia</w:t>
      </w:r>
    </w:p>
    <w:p>
      <w:pPr>
        <w:spacing w:after="0" w:before="0"/>
      </w:pPr>
      <w:r>
        <w:rPr>
          <w:b w:val="0"/>
          <w:i w:val="0"/>
          <w:sz w:val="22"/>
        </w:rPr>
        <w:t>(b) Panic disorder with agoraphobia</w:t>
      </w:r>
    </w:p>
    <w:p>
      <w:pPr>
        <w:spacing w:after="0" w:before="0"/>
      </w:pPr>
      <w:r>
        <w:rPr>
          <w:b w:val="0"/>
          <w:i w:val="0"/>
          <w:sz w:val="22"/>
        </w:rPr>
        <w:t>(c) Obsessive-compulsive disorder</w:t>
      </w:r>
    </w:p>
    <w:p>
      <w:pPr>
        <w:spacing w:after="0" w:before="0"/>
      </w:pPr>
      <w:r>
        <w:rPr>
          <w:b w:val="0"/>
          <w:i w:val="0"/>
          <w:sz w:val="22"/>
        </w:rPr>
        <w:t>(d) Generalised anxiety disorder</w:t>
      </w:r>
    </w:p>
    <w:p>
      <w:pPr>
        <w:spacing w:after="0" w:before="40"/>
      </w:pPr>
      <w:r>
        <w:rPr>
          <w:b/>
          <w:i w:val="0"/>
          <w:sz w:val="22"/>
        </w:rPr>
        <w:t>Answer: b</w:t>
      </w:r>
    </w:p>
    <w:p>
      <w:pPr>
        <w:spacing w:after="0" w:before="0"/>
      </w:pPr>
      <w:r>
        <w:rPr>
          <w:b w:val="0"/>
          <w:i w:val="0"/>
          <w:sz w:val="21"/>
        </w:rPr>
        <w:t>Solution: Panic disorder is recurrent, unexpected panic attacks with persistent worry about further attacks or their consequences. When avoidance of situations develops, agoraphobia is added. Generalised anxiety disorder is chronic worry; specific phobia is fear of a particular object or situation.</w:t>
      </w:r>
    </w:p>
    <w:p>
      <w:pPr>
        <w:spacing w:after="0" w:before="0"/>
      </w:pPr>
      <w:r>
        <w:rPr>
          <w:b w:val="0"/>
          <w:i w:val="0"/>
          <w:sz w:val="20"/>
        </w:rPr>
        <w:t>Positive Marks: 1</w:t>
      </w:r>
    </w:p>
    <w:p>
      <w:pPr>
        <w:spacing w:after="160" w:before="0"/>
      </w:pPr>
      <w:r>
        <w:rPr>
          <w:b w:val="0"/>
          <w:i w:val="0"/>
          <w:sz w:val="20"/>
        </w:rPr>
        <w:t>Negative Marks: 0.33</w:t>
      </w:r>
    </w:p>
    <w:p>
      <w:pPr>
        <w:spacing w:after="40" w:before="120"/>
      </w:pPr>
      <w:r>
        <w:rPr>
          <w:b w:val="0"/>
          <w:i w:val="0"/>
          <w:sz w:val="22"/>
        </w:rPr>
        <w:t>Question: Which finding is characteristic of serotonin syndrome?</w:t>
      </w:r>
    </w:p>
    <w:p>
      <w:pPr>
        <w:spacing w:after="0" w:before="0"/>
      </w:pPr>
      <w:r>
        <w:rPr>
          <w:b w:val="0"/>
          <w:i w:val="0"/>
          <w:sz w:val="22"/>
        </w:rPr>
        <w:t>(a) Bradycardia and hypotension</w:t>
      </w:r>
    </w:p>
    <w:p>
      <w:pPr>
        <w:spacing w:after="0" w:before="0"/>
      </w:pPr>
      <w:r>
        <w:rPr>
          <w:b w:val="0"/>
          <w:i w:val="0"/>
          <w:sz w:val="22"/>
        </w:rPr>
        <w:t>(b) Dry mouth, constipation, and sedation</w:t>
      </w:r>
    </w:p>
    <w:p>
      <w:pPr>
        <w:spacing w:after="0" w:before="0"/>
      </w:pPr>
      <w:r>
        <w:rPr>
          <w:b w:val="0"/>
          <w:i w:val="0"/>
          <w:sz w:val="22"/>
        </w:rPr>
        <w:t>(c) Mydriasis with dry flushed skin</w:t>
      </w:r>
    </w:p>
    <w:p>
      <w:pPr>
        <w:spacing w:after="0" w:before="0"/>
      </w:pPr>
      <w:r>
        <w:rPr>
          <w:b w:val="0"/>
          <w:i w:val="0"/>
          <w:sz w:val="22"/>
        </w:rPr>
        <w:t>(d) Agitation, hyperthermia, muscle rigidity, and autonomic instability</w:t>
      </w:r>
    </w:p>
    <w:p>
      <w:pPr>
        <w:spacing w:after="0" w:before="40"/>
      </w:pPr>
      <w:r>
        <w:rPr>
          <w:b/>
          <w:i w:val="0"/>
          <w:sz w:val="22"/>
        </w:rPr>
        <w:t>Answer: d</w:t>
      </w:r>
    </w:p>
    <w:p>
      <w:pPr>
        <w:spacing w:after="0" w:before="0"/>
      </w:pPr>
      <w:r>
        <w:rPr>
          <w:b w:val="0"/>
          <w:i w:val="0"/>
          <w:sz w:val="21"/>
        </w:rPr>
        <w:t>Solution: Serotonin syndrome follows excess serotonergic activity, typically when serotonergic drugs are combined, and presents with mental status changes, autonomic instability, hyperthermia, and neuromuscular abnormalities such as rigidity and clonus. It is a medical emergency treated by stopping the offending drugs and supportive care.</w:t>
      </w:r>
    </w:p>
    <w:p>
      <w:pPr>
        <w:spacing w:after="0" w:before="0"/>
      </w:pPr>
      <w:r>
        <w:rPr>
          <w:b w:val="0"/>
          <w:i w:val="0"/>
          <w:sz w:val="20"/>
        </w:rPr>
        <w:t>Positive Marks: 1</w:t>
      </w:r>
    </w:p>
    <w:p>
      <w:pPr>
        <w:spacing w:after="160" w:before="0"/>
      </w:pPr>
      <w:r>
        <w:rPr>
          <w:b w:val="0"/>
          <w:i w:val="0"/>
          <w:sz w:val="20"/>
        </w:rPr>
        <w:t>Negative Marks: 0.33</w:t>
      </w:r>
    </w:p>
    <w:p>
      <w:pPr>
        <w:spacing w:after="40" w:before="120"/>
      </w:pPr>
      <w:r>
        <w:rPr>
          <w:b w:val="0"/>
          <w:i w:val="0"/>
          <w:sz w:val="22"/>
        </w:rPr>
        <w:t>Question: Which is a priority nursing observation when a client begins treatment with an antipsychotic such as haloperidol?</w:t>
      </w:r>
    </w:p>
    <w:p>
      <w:pPr>
        <w:spacing w:after="0" w:before="0"/>
      </w:pPr>
      <w:r>
        <w:rPr>
          <w:b w:val="0"/>
          <w:i w:val="0"/>
          <w:sz w:val="22"/>
        </w:rPr>
        <w:t>(a) Acute dystonia, akathisia, and extrapyramidal symptoms</w:t>
      </w:r>
    </w:p>
    <w:p>
      <w:pPr>
        <w:spacing w:after="0" w:before="0"/>
      </w:pPr>
      <w:r>
        <w:rPr>
          <w:b w:val="0"/>
          <w:i w:val="0"/>
          <w:sz w:val="22"/>
        </w:rPr>
        <w:t>(b) Weight loss and insomnia</w:t>
      </w:r>
    </w:p>
    <w:p>
      <w:pPr>
        <w:spacing w:after="0" w:before="0"/>
      </w:pPr>
      <w:r>
        <w:rPr>
          <w:b w:val="0"/>
          <w:i w:val="0"/>
          <w:sz w:val="22"/>
        </w:rPr>
        <w:t>(c) Hypersalivation only</w:t>
      </w:r>
    </w:p>
    <w:p>
      <w:pPr>
        <w:spacing w:after="0" w:before="0"/>
      </w:pPr>
      <w:r>
        <w:rPr>
          <w:b w:val="0"/>
          <w:i w:val="0"/>
          <w:sz w:val="22"/>
        </w:rPr>
        <w:t>(d) Euphoria</w:t>
      </w:r>
    </w:p>
    <w:p>
      <w:pPr>
        <w:spacing w:after="0" w:before="40"/>
      </w:pPr>
      <w:r>
        <w:rPr>
          <w:b/>
          <w:i w:val="0"/>
          <w:sz w:val="22"/>
        </w:rPr>
        <w:t>Answer: a</w:t>
      </w:r>
    </w:p>
    <w:p>
      <w:pPr>
        <w:spacing w:after="0" w:before="0"/>
      </w:pPr>
      <w:r>
        <w:rPr>
          <w:b w:val="0"/>
          <w:i w:val="0"/>
          <w:sz w:val="21"/>
        </w:rPr>
        <w:t>Solution: Typical antipsychotics block dopamine D2 receptors and commonly cause extrapyramidal side effects such as acute dystonia, parkinsonism, and akathisia, which may appear within days of starting therapy. Nurses monitor for these and report them promptly so antiparkinsonian drugs can be added.</w:t>
      </w:r>
    </w:p>
    <w:p>
      <w:pPr>
        <w:spacing w:after="0" w:before="0"/>
      </w:pPr>
      <w:r>
        <w:rPr>
          <w:b w:val="0"/>
          <w:i w:val="0"/>
          <w:sz w:val="20"/>
        </w:rPr>
        <w:t>Positive Marks: 1</w:t>
      </w:r>
    </w:p>
    <w:p>
      <w:pPr>
        <w:spacing w:after="160" w:before="0"/>
      </w:pPr>
      <w:r>
        <w:rPr>
          <w:b w:val="0"/>
          <w:i w:val="0"/>
          <w:sz w:val="20"/>
        </w:rPr>
        <w:t>Negative Marks: 0.33</w:t>
      </w:r>
    </w:p>
    <w:p>
      <w:pPr>
        <w:spacing w:after="40" w:before="120"/>
      </w:pPr>
      <w:r>
        <w:rPr>
          <w:b w:val="0"/>
          <w:i w:val="0"/>
          <w:sz w:val="22"/>
        </w:rPr>
        <w:t>Question: Which endocrine disorder is caused by excessive secretion of growth hormone beginning in adulthood?</w:t>
      </w:r>
    </w:p>
    <w:p>
      <w:pPr>
        <w:spacing w:after="0" w:before="0"/>
      </w:pPr>
      <w:r>
        <w:rPr>
          <w:b w:val="0"/>
          <w:i w:val="0"/>
          <w:sz w:val="22"/>
        </w:rPr>
        <w:t>(a) Cushing syndrome</w:t>
      </w:r>
    </w:p>
    <w:p>
      <w:pPr>
        <w:spacing w:after="0" w:before="0"/>
      </w:pPr>
      <w:r>
        <w:rPr>
          <w:b w:val="0"/>
          <w:i w:val="0"/>
          <w:sz w:val="22"/>
        </w:rPr>
        <w:t>(b) Addison disease</w:t>
      </w:r>
    </w:p>
    <w:p>
      <w:pPr>
        <w:spacing w:after="0" w:before="0"/>
      </w:pPr>
      <w:r>
        <w:rPr>
          <w:b w:val="0"/>
          <w:i w:val="0"/>
          <w:sz w:val="22"/>
        </w:rPr>
        <w:t>(c) Gigantism</w:t>
      </w:r>
    </w:p>
    <w:p>
      <w:pPr>
        <w:spacing w:after="0" w:before="0"/>
      </w:pPr>
      <w:r>
        <w:rPr>
          <w:b w:val="0"/>
          <w:i w:val="0"/>
          <w:sz w:val="22"/>
        </w:rPr>
        <w:t>(d) Acromegaly</w:t>
      </w:r>
    </w:p>
    <w:p>
      <w:pPr>
        <w:spacing w:after="0" w:before="40"/>
      </w:pPr>
      <w:r>
        <w:rPr>
          <w:b/>
          <w:i w:val="0"/>
          <w:sz w:val="22"/>
        </w:rPr>
        <w:t>Answer: d</w:t>
      </w:r>
    </w:p>
    <w:p>
      <w:pPr>
        <w:spacing w:after="0" w:before="0"/>
      </w:pPr>
      <w:r>
        <w:rPr>
          <w:b w:val="0"/>
          <w:i w:val="0"/>
          <w:sz w:val="21"/>
        </w:rPr>
        <w:t>Solution: Excess growth hormone after epiphyseal closure causes acromegaly, with enlargement of the hands, feet, jaw, and soft tissues, plus glucose intolerance and hypertension. Gigantism results when the excess begins before growth plates fuse. Cushing syndrome involves cortisol excess and Addison disease cortisol deficiency.</w:t>
      </w:r>
    </w:p>
    <w:p>
      <w:pPr>
        <w:spacing w:after="0" w:before="0"/>
      </w:pPr>
      <w:r>
        <w:rPr>
          <w:b w:val="0"/>
          <w:i w:val="0"/>
          <w:sz w:val="20"/>
        </w:rPr>
        <w:t>Positive Marks: 1</w:t>
      </w:r>
    </w:p>
    <w:p>
      <w:pPr>
        <w:spacing w:after="160" w:before="0"/>
      </w:pPr>
      <w:r>
        <w:rPr>
          <w:b w:val="0"/>
          <w:i w:val="0"/>
          <w:sz w:val="20"/>
        </w:rPr>
        <w:t>Negative Marks: 0.33</w:t>
      </w:r>
    </w:p>
    <w:p>
      <w:pPr>
        <w:spacing w:after="40" w:before="120"/>
      </w:pPr>
      <w:r>
        <w:rPr>
          <w:b w:val="0"/>
          <w:i w:val="0"/>
          <w:sz w:val="22"/>
        </w:rPr>
        <w:t>Question: Which is a classic clinical feature of hypothyroidism?</w:t>
      </w:r>
    </w:p>
    <w:p>
      <w:pPr>
        <w:spacing w:after="0" w:before="0"/>
      </w:pPr>
      <w:r>
        <w:rPr>
          <w:b w:val="0"/>
          <w:i w:val="0"/>
          <w:sz w:val="22"/>
        </w:rPr>
        <w:t>(a) Exophthalmos</w:t>
      </w:r>
    </w:p>
    <w:p>
      <w:pPr>
        <w:spacing w:after="0" w:before="0"/>
      </w:pPr>
      <w:r>
        <w:rPr>
          <w:b w:val="0"/>
          <w:i w:val="0"/>
          <w:sz w:val="22"/>
        </w:rPr>
        <w:t>(b) Palpitations and diarrhoea</w:t>
      </w:r>
    </w:p>
    <w:p>
      <w:pPr>
        <w:spacing w:after="0" w:before="0"/>
      </w:pPr>
      <w:r>
        <w:rPr>
          <w:b w:val="0"/>
          <w:i w:val="0"/>
          <w:sz w:val="22"/>
        </w:rPr>
        <w:t>(c) Cold intolerance, weight gain, and constipation</w:t>
      </w:r>
    </w:p>
    <w:p>
      <w:pPr>
        <w:spacing w:after="0" w:before="0"/>
      </w:pPr>
      <w:r>
        <w:rPr>
          <w:b w:val="0"/>
          <w:i w:val="0"/>
          <w:sz w:val="22"/>
        </w:rPr>
        <w:t>(d) Heat intolerance and weight loss</w:t>
      </w:r>
    </w:p>
    <w:p>
      <w:pPr>
        <w:spacing w:after="0" w:before="40"/>
      </w:pPr>
      <w:r>
        <w:rPr>
          <w:b/>
          <w:i w:val="0"/>
          <w:sz w:val="22"/>
        </w:rPr>
        <w:t>Answer: c</w:t>
      </w:r>
    </w:p>
    <w:p>
      <w:pPr>
        <w:spacing w:after="0" w:before="0"/>
      </w:pPr>
      <w:r>
        <w:rPr>
          <w:b w:val="0"/>
          <w:i w:val="0"/>
          <w:sz w:val="21"/>
        </w:rPr>
        <w:t>Solution: Hypothyroidism slows metabolism, causing cold intolerance, weight gain, constipation, fatigue, bradycardia, and dry skin. Hyperthyroidism produces the opposite: heat intolerance, weight loss, palpitations, and diarrhoea, with exophthalmos in Graves disease.</w:t>
      </w:r>
    </w:p>
    <w:p>
      <w:pPr>
        <w:spacing w:after="0" w:before="0"/>
      </w:pPr>
      <w:r>
        <w:rPr>
          <w:b w:val="0"/>
          <w:i w:val="0"/>
          <w:sz w:val="20"/>
        </w:rPr>
        <w:t>Positive Marks: 1</w:t>
      </w:r>
    </w:p>
    <w:p>
      <w:pPr>
        <w:spacing w:after="160" w:before="0"/>
      </w:pPr>
      <w:r>
        <w:rPr>
          <w:b w:val="0"/>
          <w:i w:val="0"/>
          <w:sz w:val="20"/>
        </w:rPr>
        <w:t>Negative Marks: 0.33</w:t>
      </w:r>
    </w:p>
    <w:p>
      <w:pPr>
        <w:spacing w:after="40" w:before="120"/>
      </w:pPr>
      <w:r>
        <w:rPr>
          <w:b w:val="0"/>
          <w:i w:val="0"/>
          <w:sz w:val="22"/>
        </w:rPr>
        <w:t>Question: Which complication is most important to monitor for in a client with cirrhosis and ascites after a large-volume paracentesis?</w:t>
      </w:r>
    </w:p>
    <w:p>
      <w:pPr>
        <w:spacing w:after="0" w:before="0"/>
      </w:pPr>
      <w:r>
        <w:rPr>
          <w:b w:val="0"/>
          <w:i w:val="0"/>
          <w:sz w:val="22"/>
        </w:rPr>
        <w:t>(a) Hyperkalaemia</w:t>
      </w:r>
    </w:p>
    <w:p>
      <w:pPr>
        <w:spacing w:after="0" w:before="0"/>
      </w:pPr>
      <w:r>
        <w:rPr>
          <w:b w:val="0"/>
          <w:i w:val="0"/>
          <w:sz w:val="22"/>
        </w:rPr>
        <w:t>(b) Pulmonary embolism</w:t>
      </w:r>
    </w:p>
    <w:p>
      <w:pPr>
        <w:spacing w:after="0" w:before="0"/>
      </w:pPr>
      <w:r>
        <w:rPr>
          <w:b w:val="0"/>
          <w:i w:val="0"/>
          <w:sz w:val="22"/>
        </w:rPr>
        <w:t>(c) Metabolic alkalosis</w:t>
      </w:r>
    </w:p>
    <w:p>
      <w:pPr>
        <w:spacing w:after="0" w:before="0"/>
      </w:pPr>
      <w:r>
        <w:rPr>
          <w:b w:val="0"/>
          <w:i w:val="0"/>
          <w:sz w:val="22"/>
        </w:rPr>
        <w:t>(d) Hypovolaemia and post-paracentesis circulatory dysfunction</w:t>
      </w:r>
    </w:p>
    <w:p>
      <w:pPr>
        <w:spacing w:after="0" w:before="40"/>
      </w:pPr>
      <w:r>
        <w:rPr>
          <w:b/>
          <w:i w:val="0"/>
          <w:sz w:val="22"/>
        </w:rPr>
        <w:t>Answer: d</w:t>
      </w:r>
    </w:p>
    <w:p>
      <w:pPr>
        <w:spacing w:after="0" w:before="0"/>
      </w:pPr>
      <w:r>
        <w:rPr>
          <w:b w:val="0"/>
          <w:i w:val="0"/>
          <w:sz w:val="21"/>
        </w:rPr>
        <w:t>Solution: Removing a large volume of ascitic fluid can shift fluid out of the intravascular compartment and trigger circulatory dysfunction and renal impairment; albumin is often infused after the procedure to maintain plasma volume. Monitoring includes blood pressure, urine output, and signs of encephalopathy.</w:t>
      </w:r>
    </w:p>
    <w:p>
      <w:pPr>
        <w:spacing w:after="0" w:before="0"/>
      </w:pPr>
      <w:r>
        <w:rPr>
          <w:b w:val="0"/>
          <w:i w:val="0"/>
          <w:sz w:val="20"/>
        </w:rPr>
        <w:t>Positive Marks: 1</w:t>
      </w:r>
    </w:p>
    <w:p>
      <w:pPr>
        <w:spacing w:after="160" w:before="0"/>
      </w:pPr>
      <w:r>
        <w:rPr>
          <w:b w:val="0"/>
          <w:i w:val="0"/>
          <w:sz w:val="20"/>
        </w:rPr>
        <w:t>Negative Marks: 0.33</w:t>
      </w:r>
    </w:p>
    <w:p>
      <w:pPr>
        <w:spacing w:after="40" w:before="120"/>
      </w:pPr>
      <w:r>
        <w:rPr>
          <w:b w:val="0"/>
          <w:i w:val="0"/>
          <w:sz w:val="22"/>
        </w:rPr>
        <w:t>Question: Which is the priority assessment in a client with suspected acute pancreatitis?</w:t>
      </w:r>
    </w:p>
    <w:p>
      <w:pPr>
        <w:spacing w:after="0" w:before="0"/>
      </w:pPr>
      <w:r>
        <w:rPr>
          <w:b w:val="0"/>
          <w:i w:val="0"/>
          <w:sz w:val="22"/>
        </w:rPr>
        <w:t>(a) Severe epigastric pain radiating to the back with vomiting</w:t>
      </w:r>
    </w:p>
    <w:p>
      <w:pPr>
        <w:spacing w:after="0" w:before="0"/>
      </w:pPr>
      <w:r>
        <w:rPr>
          <w:b w:val="0"/>
          <w:i w:val="0"/>
          <w:sz w:val="22"/>
        </w:rPr>
        <w:t>(b) Bloody diarrhoea</w:t>
      </w:r>
    </w:p>
    <w:p>
      <w:pPr>
        <w:spacing w:after="0" w:before="0"/>
      </w:pPr>
      <w:r>
        <w:rPr>
          <w:b w:val="0"/>
          <w:i w:val="0"/>
          <w:sz w:val="22"/>
        </w:rPr>
        <w:t>(c) Jaundice alone</w:t>
      </w:r>
    </w:p>
    <w:p>
      <w:pPr>
        <w:spacing w:after="0" w:before="0"/>
      </w:pPr>
      <w:r>
        <w:rPr>
          <w:b w:val="0"/>
          <w:i w:val="0"/>
          <w:sz w:val="22"/>
        </w:rPr>
        <w:t>(d) Palpable abdominal mass</w:t>
      </w:r>
    </w:p>
    <w:p>
      <w:pPr>
        <w:spacing w:after="0" w:before="40"/>
      </w:pPr>
      <w:r>
        <w:rPr>
          <w:b/>
          <w:i w:val="0"/>
          <w:sz w:val="22"/>
        </w:rPr>
        <w:t>Answer: a</w:t>
      </w:r>
    </w:p>
    <w:p>
      <w:pPr>
        <w:spacing w:after="0" w:before="0"/>
      </w:pPr>
      <w:r>
        <w:rPr>
          <w:b w:val="0"/>
          <w:i w:val="0"/>
          <w:sz w:val="21"/>
        </w:rPr>
        <w:t>Solution: Acute pancreatitis classically presents with sudden severe epigastric pain radiating to the back, nausea, vomiting, and an elevated serum amylase and lipase. Management is supportive with nil by mouth, intravenous fluids, and analgesia; severe cases develop pancreatic necrosis and multi-organ failure.</w:t>
      </w:r>
    </w:p>
    <w:p>
      <w:pPr>
        <w:spacing w:after="0" w:before="0"/>
      </w:pPr>
      <w:r>
        <w:rPr>
          <w:b w:val="0"/>
          <w:i w:val="0"/>
          <w:sz w:val="20"/>
        </w:rPr>
        <w:t>Positive Marks: 1</w:t>
      </w:r>
    </w:p>
    <w:p>
      <w:pPr>
        <w:spacing w:after="160" w:before="0"/>
      </w:pPr>
      <w:r>
        <w:rPr>
          <w:b w:val="0"/>
          <w:i w:val="0"/>
          <w:sz w:val="20"/>
        </w:rPr>
        <w:t>Negative Marks: 0.33</w:t>
      </w:r>
    </w:p>
    <w:p>
      <w:pPr>
        <w:spacing w:after="40" w:before="120"/>
      </w:pPr>
      <w:r>
        <w:rPr>
          <w:b w:val="0"/>
          <w:i w:val="0"/>
          <w:sz w:val="22"/>
        </w:rPr>
        <w:t>Question: Which position is preferred for a client receiving a nasogastric tube feeding to reduce the risk of aspiration?</w:t>
      </w:r>
    </w:p>
    <w:p>
      <w:pPr>
        <w:spacing w:after="0" w:before="0"/>
      </w:pPr>
      <w:r>
        <w:rPr>
          <w:b w:val="0"/>
          <w:i w:val="0"/>
          <w:sz w:val="22"/>
        </w:rPr>
        <w:t>(a) Prone</w:t>
      </w:r>
    </w:p>
    <w:p>
      <w:pPr>
        <w:spacing w:after="0" w:before="0"/>
      </w:pPr>
      <w:r>
        <w:rPr>
          <w:b w:val="0"/>
          <w:i w:val="0"/>
          <w:sz w:val="22"/>
        </w:rPr>
        <w:t>(b) Semi-Fowler's position with the head elevated 30-45 degrees</w:t>
      </w:r>
    </w:p>
    <w:p>
      <w:pPr>
        <w:spacing w:after="0" w:before="0"/>
      </w:pPr>
      <w:r>
        <w:rPr>
          <w:b w:val="0"/>
          <w:i w:val="0"/>
          <w:sz w:val="22"/>
        </w:rPr>
        <w:t>(c) Supine flat</w:t>
      </w:r>
    </w:p>
    <w:p>
      <w:pPr>
        <w:spacing w:after="0" w:before="0"/>
      </w:pPr>
      <w:r>
        <w:rPr>
          <w:b w:val="0"/>
          <w:i w:val="0"/>
          <w:sz w:val="22"/>
        </w:rPr>
        <w:t>(d) Left lateral decubitus</w:t>
      </w:r>
    </w:p>
    <w:p>
      <w:pPr>
        <w:spacing w:after="0" w:before="40"/>
      </w:pPr>
      <w:r>
        <w:rPr>
          <w:b/>
          <w:i w:val="0"/>
          <w:sz w:val="22"/>
        </w:rPr>
        <w:t>Answer: b</w:t>
      </w:r>
    </w:p>
    <w:p>
      <w:pPr>
        <w:spacing w:after="0" w:before="0"/>
      </w:pPr>
      <w:r>
        <w:rPr>
          <w:b w:val="0"/>
          <w:i w:val="0"/>
          <w:sz w:val="21"/>
        </w:rPr>
        <w:t>Solution: Keeping the head of the bed elevated 30-45 degrees during and for 30-60 minutes after a tube feeding uses gravity to reduce reflux and aspiration. Flat or prone positioning allows formula to pool in the pharynx and be aspirated.</w:t>
      </w:r>
    </w:p>
    <w:p>
      <w:pPr>
        <w:spacing w:after="0" w:before="0"/>
      </w:pPr>
      <w:r>
        <w:rPr>
          <w:b w:val="0"/>
          <w:i w:val="0"/>
          <w:sz w:val="20"/>
        </w:rPr>
        <w:t>Positive Marks: 1</w:t>
      </w:r>
    </w:p>
    <w:p>
      <w:pPr>
        <w:spacing w:after="160" w:before="0"/>
      </w:pPr>
      <w:r>
        <w:rPr>
          <w:b w:val="0"/>
          <w:i w:val="0"/>
          <w:sz w:val="20"/>
        </w:rPr>
        <w:t>Negative Marks: 0.33</w:t>
      </w:r>
    </w:p>
    <w:p>
      <w:pPr>
        <w:spacing w:after="40" w:before="120"/>
      </w:pPr>
      <w:r>
        <w:rPr>
          <w:b w:val="0"/>
          <w:i w:val="0"/>
          <w:sz w:val="22"/>
        </w:rPr>
        <w:t>Question: Which observation indicates normal uterine involution during the immediate postpartum period?</w:t>
      </w:r>
    </w:p>
    <w:p>
      <w:pPr>
        <w:spacing w:after="0" w:before="0"/>
      </w:pPr>
      <w:r>
        <w:rPr>
          <w:b w:val="0"/>
          <w:i w:val="0"/>
          <w:sz w:val="22"/>
        </w:rPr>
        <w:t>(a) Absent lochia with a soft uterus</w:t>
      </w:r>
    </w:p>
    <w:p>
      <w:pPr>
        <w:spacing w:after="0" w:before="0"/>
      </w:pPr>
      <w:r>
        <w:rPr>
          <w:b w:val="0"/>
          <w:i w:val="0"/>
          <w:sz w:val="22"/>
        </w:rPr>
        <w:t>(b) A boggy fundus rising above the umbilicus</w:t>
      </w:r>
    </w:p>
    <w:p>
      <w:pPr>
        <w:spacing w:after="0" w:before="0"/>
      </w:pPr>
      <w:r>
        <w:rPr>
          <w:b w:val="0"/>
          <w:i w:val="0"/>
          <w:sz w:val="22"/>
        </w:rPr>
        <w:t>(c) A firm fundus at or just below the umbilicus with moderate lochia</w:t>
      </w:r>
    </w:p>
    <w:p>
      <w:pPr>
        <w:spacing w:after="0" w:before="0"/>
      </w:pPr>
      <w:r>
        <w:rPr>
          <w:b w:val="0"/>
          <w:i w:val="0"/>
          <w:sz w:val="22"/>
        </w:rPr>
        <w:t>(d) A fundus displaced to the right with abdominal distension</w:t>
      </w:r>
    </w:p>
    <w:p>
      <w:pPr>
        <w:spacing w:after="0" w:before="40"/>
      </w:pPr>
      <w:r>
        <w:rPr>
          <w:b/>
          <w:i w:val="0"/>
          <w:sz w:val="22"/>
        </w:rPr>
        <w:t>Answer: c</w:t>
      </w:r>
    </w:p>
    <w:p>
      <w:pPr>
        <w:spacing w:after="0" w:before="0"/>
      </w:pPr>
      <w:r>
        <w:rPr>
          <w:b w:val="0"/>
          <w:i w:val="0"/>
          <w:sz w:val="21"/>
        </w:rPr>
        <w:t>Solution: Normal involution is shown by a firm fundus at or just below the umbilicus after delivery, descending about one fingerbreadth daily with moderate lochia. A boggy, displaced fundus or scanty lochia suggests atony, retained products, or a full bladder and requires intervention.</w:t>
      </w:r>
    </w:p>
    <w:p>
      <w:pPr>
        <w:spacing w:after="0" w:before="0"/>
      </w:pPr>
      <w:r>
        <w:rPr>
          <w:b w:val="0"/>
          <w:i w:val="0"/>
          <w:sz w:val="20"/>
        </w:rPr>
        <w:t>Positive Marks: 1</w:t>
      </w:r>
    </w:p>
    <w:p>
      <w:pPr>
        <w:spacing w:after="160" w:before="0"/>
      </w:pPr>
      <w:r>
        <w:rPr>
          <w:b w:val="0"/>
          <w:i w:val="0"/>
          <w:sz w:val="20"/>
        </w:rPr>
        <w:t>Negative Marks: 0.33</w:t>
      </w:r>
    </w:p>
    <w:p>
      <w:pPr>
        <w:spacing w:after="40" w:before="120"/>
      </w:pPr>
      <w:r>
        <w:rPr>
          <w:b w:val="0"/>
          <w:i w:val="0"/>
          <w:sz w:val="22"/>
        </w:rPr>
        <w:t>Question: Which immunisation is given orally to infants in the national immunisation schedule?</w:t>
      </w:r>
    </w:p>
    <w:p>
      <w:pPr>
        <w:spacing w:after="0" w:before="0"/>
      </w:pPr>
      <w:r>
        <w:rPr>
          <w:b w:val="0"/>
          <w:i w:val="0"/>
          <w:sz w:val="22"/>
        </w:rPr>
        <w:t>(a) Measles vaccine</w:t>
      </w:r>
    </w:p>
    <w:p>
      <w:pPr>
        <w:spacing w:after="0" w:before="0"/>
      </w:pPr>
      <w:r>
        <w:rPr>
          <w:b w:val="0"/>
          <w:i w:val="0"/>
          <w:sz w:val="22"/>
        </w:rPr>
        <w:t>(b) Hepatitis B vaccine</w:t>
      </w:r>
    </w:p>
    <w:p>
      <w:pPr>
        <w:spacing w:after="0" w:before="0"/>
      </w:pPr>
      <w:r>
        <w:rPr>
          <w:b w:val="0"/>
          <w:i w:val="0"/>
          <w:sz w:val="22"/>
        </w:rPr>
        <w:t>(c) Rotavirus vaccine</w:t>
      </w:r>
    </w:p>
    <w:p>
      <w:pPr>
        <w:spacing w:after="0" w:before="0"/>
      </w:pPr>
      <w:r>
        <w:rPr>
          <w:b w:val="0"/>
          <w:i w:val="0"/>
          <w:sz w:val="22"/>
        </w:rPr>
        <w:t>(d) DPT vaccine</w:t>
      </w:r>
    </w:p>
    <w:p>
      <w:pPr>
        <w:spacing w:after="0" w:before="40"/>
      </w:pPr>
      <w:r>
        <w:rPr>
          <w:b/>
          <w:i w:val="0"/>
          <w:sz w:val="22"/>
        </w:rPr>
        <w:t>Answer: c</w:t>
      </w:r>
    </w:p>
    <w:p>
      <w:pPr>
        <w:spacing w:after="0" w:before="0"/>
      </w:pPr>
      <w:r>
        <w:rPr>
          <w:b w:val="0"/>
          <w:i w:val="0"/>
          <w:sz w:val="21"/>
        </w:rPr>
        <w:t>Solution: Rotavirus vaccine is administered as oral drops at 6, 10, and 14 weeks of age to prevent severe diarrhoea in infants. DPT, hepatitis B, and measles vaccines are all given by injection.</w:t>
      </w:r>
    </w:p>
    <w:p>
      <w:pPr>
        <w:spacing w:after="0" w:before="0"/>
      </w:pPr>
      <w:r>
        <w:rPr>
          <w:b w:val="0"/>
          <w:i w:val="0"/>
          <w:sz w:val="20"/>
        </w:rPr>
        <w:t>Positive Marks: 1</w:t>
      </w:r>
    </w:p>
    <w:p>
      <w:pPr>
        <w:spacing w:after="160" w:before="0"/>
      </w:pPr>
      <w:r>
        <w:rPr>
          <w:b w:val="0"/>
          <w:i w:val="0"/>
          <w:sz w:val="20"/>
        </w:rPr>
        <w:t>Negative Marks: 0.33</w:t>
      </w:r>
    </w:p>
    <w:p>
      <w:pPr>
        <w:spacing w:after="40" w:before="120"/>
      </w:pPr>
      <w:r>
        <w:rPr>
          <w:b w:val="0"/>
          <w:i w:val="0"/>
          <w:sz w:val="22"/>
        </w:rPr>
        <w:t>Question: Which statistic is used to compare the health status of populations by measuring deaths per 1,000 live births in the first year of life?</w:t>
      </w:r>
    </w:p>
    <w:p>
      <w:pPr>
        <w:spacing w:after="0" w:before="0"/>
      </w:pPr>
      <w:r>
        <w:rPr>
          <w:b w:val="0"/>
          <w:i w:val="0"/>
          <w:sz w:val="22"/>
        </w:rPr>
        <w:t>(a) Crude death rate</w:t>
      </w:r>
    </w:p>
    <w:p>
      <w:pPr>
        <w:spacing w:after="0" w:before="0"/>
      </w:pPr>
      <w:r>
        <w:rPr>
          <w:b w:val="0"/>
          <w:i w:val="0"/>
          <w:sz w:val="22"/>
        </w:rPr>
        <w:t>(b) Case fatality rate</w:t>
      </w:r>
    </w:p>
    <w:p>
      <w:pPr>
        <w:spacing w:after="0" w:before="0"/>
      </w:pPr>
      <w:r>
        <w:rPr>
          <w:b w:val="0"/>
          <w:i w:val="0"/>
          <w:sz w:val="22"/>
        </w:rPr>
        <w:t>(c) Maternal mortality ratio</w:t>
      </w:r>
    </w:p>
    <w:p>
      <w:pPr>
        <w:spacing w:after="0" w:before="0"/>
      </w:pPr>
      <w:r>
        <w:rPr>
          <w:b w:val="0"/>
          <w:i w:val="0"/>
          <w:sz w:val="22"/>
        </w:rPr>
        <w:t>(d) Infant mortality rate</w:t>
      </w:r>
    </w:p>
    <w:p>
      <w:pPr>
        <w:spacing w:after="0" w:before="40"/>
      </w:pPr>
      <w:r>
        <w:rPr>
          <w:b/>
          <w:i w:val="0"/>
          <w:sz w:val="22"/>
        </w:rPr>
        <w:t>Answer: d</w:t>
      </w:r>
    </w:p>
    <w:p>
      <w:pPr>
        <w:spacing w:after="0" w:before="0"/>
      </w:pPr>
      <w:r>
        <w:rPr>
          <w:b w:val="0"/>
          <w:i w:val="0"/>
          <w:sz w:val="21"/>
        </w:rPr>
        <w:t>Solution: The infant mortality rate is the number of infant deaths under one year per 1,000 live births in a year and is a sensitive indicator of a population's health and socioeconomic development. Maternal mortality ratio measures deaths during pregnancy and childbirth per 100,000 live births.</w:t>
      </w:r>
    </w:p>
    <w:p>
      <w:pPr>
        <w:spacing w:after="0" w:before="0"/>
      </w:pPr>
      <w:r>
        <w:rPr>
          <w:b w:val="0"/>
          <w:i w:val="0"/>
          <w:sz w:val="20"/>
        </w:rPr>
        <w:t>Positive Marks: 1</w:t>
      </w:r>
    </w:p>
    <w:p>
      <w:pPr>
        <w:spacing w:after="160" w:before="0"/>
      </w:pPr>
      <w:r>
        <w:rPr>
          <w:b w:val="0"/>
          <w:i w:val="0"/>
          <w:sz w:val="20"/>
        </w:rPr>
        <w:t>Negative Marks: 0.33</w:t>
      </w:r>
    </w:p>
    <w:p>
      <w:pPr>
        <w:spacing w:after="40" w:before="120"/>
      </w:pPr>
      <w:r>
        <w:rPr>
          <w:b w:val="0"/>
          <w:i w:val="0"/>
          <w:sz w:val="22"/>
        </w:rPr>
        <w:t>Question: Which structure conducts an impulse from the atrioventricular node to the ventricles?</w:t>
      </w:r>
    </w:p>
    <w:p>
      <w:pPr>
        <w:spacing w:after="0" w:before="0"/>
      </w:pPr>
      <w:r>
        <w:rPr>
          <w:b w:val="0"/>
          <w:i w:val="0"/>
          <w:sz w:val="22"/>
        </w:rPr>
        <w:t>(a) Vagus nerve</w:t>
      </w:r>
    </w:p>
    <w:p>
      <w:pPr>
        <w:spacing w:after="0" w:before="0"/>
      </w:pPr>
      <w:r>
        <w:rPr>
          <w:b w:val="0"/>
          <w:i w:val="0"/>
          <w:sz w:val="22"/>
        </w:rPr>
        <w:t>(b) Coronary sinus</w:t>
      </w:r>
    </w:p>
    <w:p>
      <w:pPr>
        <w:spacing w:after="0" w:before="0"/>
      </w:pPr>
      <w:r>
        <w:rPr>
          <w:b w:val="0"/>
          <w:i w:val="0"/>
          <w:sz w:val="22"/>
        </w:rPr>
        <w:t>(c) Bundle of His with bundle branches and Purkinje fibres</w:t>
      </w:r>
    </w:p>
    <w:p>
      <w:pPr>
        <w:spacing w:after="0" w:before="0"/>
      </w:pPr>
      <w:r>
        <w:rPr>
          <w:b w:val="0"/>
          <w:i w:val="0"/>
          <w:sz w:val="22"/>
        </w:rPr>
        <w:t>(d) Sinoatrial node</w:t>
      </w:r>
    </w:p>
    <w:p>
      <w:pPr>
        <w:spacing w:after="0" w:before="40"/>
      </w:pPr>
      <w:r>
        <w:rPr>
          <w:b/>
          <w:i w:val="0"/>
          <w:sz w:val="22"/>
        </w:rPr>
        <w:t>Answer: c</w:t>
      </w:r>
    </w:p>
    <w:p>
      <w:pPr>
        <w:spacing w:after="0" w:before="0"/>
      </w:pPr>
      <w:r>
        <w:rPr>
          <w:b w:val="0"/>
          <w:i w:val="0"/>
          <w:sz w:val="21"/>
        </w:rPr>
        <w:t>Solution: The atrioventricular node delays the impulse, then conduction passes through the bundle of His, the left and right bundle branches, and Purkinje fibres to spread rapidly through the ventricles. The sinoatrial node is the primary pacemaker, and the coronary sinus drains cardiac venous blood.</w:t>
      </w:r>
    </w:p>
    <w:p>
      <w:pPr>
        <w:spacing w:after="0" w:before="0"/>
      </w:pPr>
      <w:r>
        <w:rPr>
          <w:b w:val="0"/>
          <w:i w:val="0"/>
          <w:sz w:val="20"/>
        </w:rPr>
        <w:t>Positive Marks: 1</w:t>
      </w:r>
    </w:p>
    <w:p>
      <w:pPr>
        <w:spacing w:after="160" w:before="0"/>
      </w:pPr>
      <w:r>
        <w:rPr>
          <w:b w:val="0"/>
          <w:i w:val="0"/>
          <w:sz w:val="20"/>
        </w:rPr>
        <w:t>Negative Marks: 0.33</w:t>
      </w:r>
    </w:p>
    <w:p>
      <w:pPr>
        <w:spacing w:after="40" w:before="120"/>
      </w:pPr>
      <w:r>
        <w:rPr>
          <w:b w:val="0"/>
          <w:i w:val="0"/>
          <w:sz w:val="22"/>
        </w:rPr>
        <w:t>Question: Which change occurs in the lungs during normal quiet inspiration?</w:t>
      </w:r>
    </w:p>
    <w:p>
      <w:pPr>
        <w:spacing w:after="0" w:before="0"/>
      </w:pPr>
      <w:r>
        <w:rPr>
          <w:b w:val="0"/>
          <w:i w:val="0"/>
          <w:sz w:val="22"/>
        </w:rPr>
        <w:t>(a) Diaphragm relaxes and rises</w:t>
      </w:r>
    </w:p>
    <w:p>
      <w:pPr>
        <w:spacing w:after="0" w:before="0"/>
      </w:pPr>
      <w:r>
        <w:rPr>
          <w:b w:val="0"/>
          <w:i w:val="0"/>
          <w:sz w:val="22"/>
        </w:rPr>
        <w:t>(b) Intrapleural pressure becomes more negative and alveolar pressure falls below atmospheric</w:t>
      </w:r>
    </w:p>
    <w:p>
      <w:pPr>
        <w:spacing w:after="0" w:before="0"/>
      </w:pPr>
      <w:r>
        <w:rPr>
          <w:b w:val="0"/>
          <w:i w:val="0"/>
          <w:sz w:val="22"/>
        </w:rPr>
        <w:t>(c) Alveolar pressure rises above atmospheric</w:t>
      </w:r>
    </w:p>
    <w:p>
      <w:pPr>
        <w:spacing w:after="0" w:before="0"/>
      </w:pPr>
      <w:r>
        <w:rPr>
          <w:b w:val="0"/>
          <w:i w:val="0"/>
          <w:sz w:val="22"/>
        </w:rPr>
        <w:t>(d) Intrapleural pressure becomes positive</w:t>
      </w:r>
    </w:p>
    <w:p>
      <w:pPr>
        <w:spacing w:after="0" w:before="40"/>
      </w:pPr>
      <w:r>
        <w:rPr>
          <w:b/>
          <w:i w:val="0"/>
          <w:sz w:val="22"/>
        </w:rPr>
        <w:t>Answer: b</w:t>
      </w:r>
    </w:p>
    <w:p>
      <w:pPr>
        <w:spacing w:after="0" w:before="0"/>
      </w:pPr>
      <w:r>
        <w:rPr>
          <w:b w:val="0"/>
          <w:i w:val="0"/>
          <w:sz w:val="21"/>
        </w:rPr>
        <w:t>Solution: During inspiration the diaphragm and external intercostals contract, enlarging the thoracic cavity so intrapleural pressure becomes more negative; alveolar pressure falls below atmospheric and air flows in. Expiration reverses this as the diaphragm relaxes and recoil returns the chest to its resting volume.</w:t>
      </w:r>
    </w:p>
    <w:p>
      <w:pPr>
        <w:spacing w:after="0" w:before="0"/>
      </w:pPr>
      <w:r>
        <w:rPr>
          <w:b w:val="0"/>
          <w:i w:val="0"/>
          <w:sz w:val="20"/>
        </w:rPr>
        <w:t>Positive Marks: 1</w:t>
      </w:r>
    </w:p>
    <w:p>
      <w:pPr>
        <w:spacing w:after="160" w:before="0"/>
      </w:pPr>
      <w:r>
        <w:rPr>
          <w:b w:val="0"/>
          <w:i w:val="0"/>
          <w:sz w:val="20"/>
        </w:rPr>
        <w:t>Negative Marks: 0.33</w:t>
      </w:r>
    </w:p>
    <w:p>
      <w:pPr>
        <w:spacing w:after="40" w:before="120"/>
      </w:pPr>
      <w:r>
        <w:rPr>
          <w:b w:val="0"/>
          <w:i w:val="0"/>
          <w:sz w:val="22"/>
        </w:rPr>
        <w:t>Question: Which vitamin deficiency classically causes bleeding gums, easy bruising, and poor wound healing?</w:t>
      </w:r>
    </w:p>
    <w:p>
      <w:pPr>
        <w:spacing w:after="0" w:before="0"/>
      </w:pPr>
      <w:r>
        <w:rPr>
          <w:b w:val="0"/>
          <w:i w:val="0"/>
          <w:sz w:val="22"/>
        </w:rPr>
        <w:t>(a) Vitamin D</w:t>
      </w:r>
    </w:p>
    <w:p>
      <w:pPr>
        <w:spacing w:after="0" w:before="0"/>
      </w:pPr>
      <w:r>
        <w:rPr>
          <w:b w:val="0"/>
          <w:i w:val="0"/>
          <w:sz w:val="22"/>
        </w:rPr>
        <w:t>(b) Vitamin K</w:t>
      </w:r>
    </w:p>
    <w:p>
      <w:pPr>
        <w:spacing w:after="0" w:before="0"/>
      </w:pPr>
      <w:r>
        <w:rPr>
          <w:b w:val="0"/>
          <w:i w:val="0"/>
          <w:sz w:val="22"/>
        </w:rPr>
        <w:t>(c) Vitamin C</w:t>
      </w:r>
    </w:p>
    <w:p>
      <w:pPr>
        <w:spacing w:after="0" w:before="0"/>
      </w:pPr>
      <w:r>
        <w:rPr>
          <w:b w:val="0"/>
          <w:i w:val="0"/>
          <w:sz w:val="22"/>
        </w:rPr>
        <w:t>(d) Vitamin A</w:t>
      </w:r>
    </w:p>
    <w:p>
      <w:pPr>
        <w:spacing w:after="0" w:before="40"/>
      </w:pPr>
      <w:r>
        <w:rPr>
          <w:b/>
          <w:i w:val="0"/>
          <w:sz w:val="22"/>
        </w:rPr>
        <w:t>Answer: c</w:t>
      </w:r>
    </w:p>
    <w:p>
      <w:pPr>
        <w:spacing w:after="0" w:before="0"/>
      </w:pPr>
      <w:r>
        <w:rPr>
          <w:b w:val="0"/>
          <w:i w:val="0"/>
          <w:sz w:val="21"/>
        </w:rPr>
        <w:t>Solution: Vitamin C (ascorbic acid) is required for collagen synthesis; deficiency causes scurvy with bleeding gums, petechiae, easy bruising, and delayed wound healing. Vitamin K deficiency impairs clotting factor synthesis, and vitamins A and D deficiency cause night blindness and rickets respectively.</w:t>
      </w:r>
    </w:p>
    <w:p>
      <w:pPr>
        <w:spacing w:after="0" w:before="0"/>
      </w:pPr>
      <w:r>
        <w:rPr>
          <w:b w:val="0"/>
          <w:i w:val="0"/>
          <w:sz w:val="20"/>
        </w:rPr>
        <w:t>Positive Marks: 1</w:t>
      </w:r>
    </w:p>
    <w:p>
      <w:pPr>
        <w:spacing w:after="160" w:before="0"/>
      </w:pPr>
      <w:r>
        <w:rPr>
          <w:b w:val="0"/>
          <w:i w:val="0"/>
          <w:sz w:val="20"/>
        </w:rPr>
        <w:t>Negative Marks: 0.33</w:t>
      </w:r>
    </w:p>
    <w:p>
      <w:pPr>
        <w:spacing w:after="40" w:before="120"/>
      </w:pPr>
      <w:r>
        <w:rPr>
          <w:b w:val="0"/>
          <w:i w:val="0"/>
          <w:sz w:val="22"/>
        </w:rPr>
        <w:t>Question: Which term describes the process by which individuals learn and internalise the norms, values, and behaviours of their culture?</w:t>
      </w:r>
    </w:p>
    <w:p>
      <w:pPr>
        <w:spacing w:after="0" w:before="0"/>
      </w:pPr>
      <w:r>
        <w:rPr>
          <w:b w:val="0"/>
          <w:i w:val="0"/>
          <w:sz w:val="22"/>
        </w:rPr>
        <w:t>(a) Segregation</w:t>
      </w:r>
    </w:p>
    <w:p>
      <w:pPr>
        <w:spacing w:after="0" w:before="0"/>
      </w:pPr>
      <w:r>
        <w:rPr>
          <w:b w:val="0"/>
          <w:i w:val="0"/>
          <w:sz w:val="22"/>
        </w:rPr>
        <w:t>(b) Socialisation</w:t>
      </w:r>
    </w:p>
    <w:p>
      <w:pPr>
        <w:spacing w:after="0" w:before="0"/>
      </w:pPr>
      <w:r>
        <w:rPr>
          <w:b w:val="0"/>
          <w:i w:val="0"/>
          <w:sz w:val="22"/>
        </w:rPr>
        <w:t>(c) Mobility</w:t>
      </w:r>
    </w:p>
    <w:p>
      <w:pPr>
        <w:spacing w:after="0" w:before="0"/>
      </w:pPr>
      <w:r>
        <w:rPr>
          <w:b w:val="0"/>
          <w:i w:val="0"/>
          <w:sz w:val="22"/>
        </w:rPr>
        <w:t>(d) Stratification</w:t>
      </w:r>
    </w:p>
    <w:p>
      <w:pPr>
        <w:spacing w:after="0" w:before="40"/>
      </w:pPr>
      <w:r>
        <w:rPr>
          <w:b/>
          <w:i w:val="0"/>
          <w:sz w:val="22"/>
        </w:rPr>
        <w:t>Answer: b</w:t>
      </w:r>
    </w:p>
    <w:p>
      <w:pPr>
        <w:spacing w:after="0" w:before="0"/>
      </w:pPr>
      <w:r>
        <w:rPr>
          <w:b w:val="0"/>
          <w:i w:val="0"/>
          <w:sz w:val="21"/>
        </w:rPr>
        <w:t>Solution: Socialisation is the lifelong process through which people acquire the language, values, and behaviour patterns of their society, beginning in the family and continuing through school, peers, and media. Social stratification is the ranking of individuals into social classes.</w:t>
      </w:r>
    </w:p>
    <w:p>
      <w:pPr>
        <w:spacing w:after="0" w:before="0"/>
      </w:pPr>
      <w:r>
        <w:rPr>
          <w:b w:val="0"/>
          <w:i w:val="0"/>
          <w:sz w:val="20"/>
        </w:rPr>
        <w:t>Positive Marks: 1</w:t>
      </w:r>
    </w:p>
    <w:p>
      <w:pPr>
        <w:spacing w:after="160" w:before="0"/>
      </w:pPr>
      <w:r>
        <w:rPr>
          <w:b w:val="0"/>
          <w:i w:val="0"/>
          <w:sz w:val="20"/>
        </w:rPr>
        <w:t>Negative Marks: 0.33</w:t>
      </w:r>
    </w:p>
    <w:sectPr w:rsidR="00FC693F" w:rsidRPr="0006063C" w:rsidSect="00034616">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