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most appropriate immediate action when a client receiving an intravenous infusion develops sudden dyspnoea, cough, and frothy pink sputum?</w:t>
      </w:r>
    </w:p>
    <w:p>
      <w:pPr>
        <w:spacing w:after="0" w:before="0"/>
      </w:pPr>
      <w:r>
        <w:rPr>
          <w:b w:val="0"/>
          <w:i w:val="0"/>
          <w:sz w:val="22"/>
        </w:rPr>
        <w:t>(a) Lower the head of the bed and apply warm compresses</w:t>
      </w:r>
    </w:p>
    <w:p>
      <w:pPr>
        <w:spacing w:after="0" w:before="0"/>
      </w:pPr>
      <w:r>
        <w:rPr>
          <w:b w:val="0"/>
          <w:i w:val="0"/>
          <w:sz w:val="22"/>
        </w:rPr>
        <w:t>(b) Slow the infusion and continue observing</w:t>
      </w:r>
    </w:p>
    <w:p>
      <w:pPr>
        <w:spacing w:after="0" w:before="0"/>
      </w:pPr>
      <w:r>
        <w:rPr>
          <w:b w:val="0"/>
          <w:i w:val="0"/>
          <w:sz w:val="22"/>
        </w:rPr>
        <w:t>(c) Increase the infusion rate to dilute the fluid</w:t>
      </w:r>
    </w:p>
    <w:p>
      <w:pPr>
        <w:spacing w:after="0" w:before="0"/>
      </w:pPr>
      <w:r>
        <w:rPr>
          <w:b w:val="0"/>
          <w:i w:val="0"/>
          <w:sz w:val="22"/>
        </w:rPr>
        <w:t>(d) Stop the infusion, raise the head of the bed, give oxygen, and notify the physician</w:t>
      </w:r>
    </w:p>
    <w:p>
      <w:pPr>
        <w:spacing w:after="0" w:before="40"/>
      </w:pPr>
      <w:r>
        <w:rPr>
          <w:b/>
          <w:i w:val="0"/>
          <w:sz w:val="22"/>
        </w:rPr>
        <w:t>Answer: d</w:t>
      </w:r>
    </w:p>
    <w:p>
      <w:pPr>
        <w:spacing w:after="0" w:before="0"/>
      </w:pPr>
      <w:r>
        <w:rPr>
          <w:b w:val="0"/>
          <w:i w:val="0"/>
          <w:sz w:val="21"/>
        </w:rPr>
        <w:t>Solution: Frothy pink sputum, dyspnoea, and crackles during an IV infusion indicate fluid overload and pulmonary oedema; the infusion is stopped, the client is positioned upright, oxygen and diuretics are given, and the physician is notified. Continuing or increasing the infusion worsens the emergency.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consideration when caring for a client receiving a blood transfusion?</w:t>
      </w:r>
    </w:p>
    <w:p>
      <w:pPr>
        <w:spacing w:after="0" w:before="0"/>
      </w:pPr>
      <w:r>
        <w:rPr>
          <w:b w:val="0"/>
          <w:i w:val="0"/>
          <w:sz w:val="22"/>
        </w:rPr>
        <w:t>(a) Verify the blood product and client identity, monitor vital signs, and observe closely during the first 15 minutes</w:t>
      </w:r>
    </w:p>
    <w:p>
      <w:pPr>
        <w:spacing w:after="0" w:before="0"/>
      </w:pPr>
      <w:r>
        <w:rPr>
          <w:b w:val="0"/>
          <w:i w:val="0"/>
          <w:sz w:val="22"/>
        </w:rPr>
        <w:t>(b) Mix medication in the same line as blood</w:t>
      </w:r>
    </w:p>
    <w:p>
      <w:pPr>
        <w:spacing w:after="0" w:before="0"/>
      </w:pPr>
      <w:r>
        <w:rPr>
          <w:b w:val="0"/>
          <w:i w:val="0"/>
          <w:sz w:val="22"/>
        </w:rPr>
        <w:t>(c) Warm the blood in hot water</w:t>
      </w:r>
    </w:p>
    <w:p>
      <w:pPr>
        <w:spacing w:after="0" w:before="0"/>
      </w:pPr>
      <w:r>
        <w:rPr>
          <w:b w:val="0"/>
          <w:i w:val="0"/>
          <w:sz w:val="22"/>
        </w:rPr>
        <w:t>(d) Transfuse rapidly without monitoring</w:t>
      </w:r>
    </w:p>
    <w:p>
      <w:pPr>
        <w:spacing w:after="0" w:before="40"/>
      </w:pPr>
      <w:r>
        <w:rPr>
          <w:b/>
          <w:i w:val="0"/>
          <w:sz w:val="22"/>
        </w:rPr>
        <w:t>Answer: a</w:t>
      </w:r>
    </w:p>
    <w:p>
      <w:pPr>
        <w:spacing w:after="0" w:before="0"/>
      </w:pPr>
      <w:r>
        <w:rPr>
          <w:b w:val="0"/>
          <w:i w:val="0"/>
          <w:sz w:val="21"/>
        </w:rPr>
        <w:t>Solution: Transfusion safety begins with two-nurse verification of the client and product, baseline and serial vital signs, and close observation, especially in the first 15 minutes when reactions are most likely; severe reactions present with fever, chills, dyspnoea, and hypotension and require stopping the transfusion.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intervention for a client who has just returned from a bronchoscopy?</w:t>
      </w:r>
    </w:p>
    <w:p>
      <w:pPr>
        <w:spacing w:after="0" w:before="0"/>
      </w:pPr>
      <w:r>
        <w:rPr>
          <w:b w:val="0"/>
          <w:i w:val="0"/>
          <w:sz w:val="22"/>
        </w:rPr>
        <w:t>(a) Keep the client NPO until the gag reflex returns and monitor for bleeding or respiratory distress</w:t>
      </w:r>
    </w:p>
    <w:p>
      <w:pPr>
        <w:spacing w:after="0" w:before="0"/>
      </w:pPr>
      <w:r>
        <w:rPr>
          <w:b w:val="0"/>
          <w:i w:val="0"/>
          <w:sz w:val="22"/>
        </w:rPr>
        <w:t>(b) Offer a full meal immediately</w:t>
      </w:r>
    </w:p>
    <w:p>
      <w:pPr>
        <w:spacing w:after="0" w:before="0"/>
      </w:pPr>
      <w:r>
        <w:rPr>
          <w:b w:val="0"/>
          <w:i w:val="0"/>
          <w:sz w:val="22"/>
        </w:rPr>
        <w:t>(c) Encourage vigorous coughing and throat clearing</w:t>
      </w:r>
    </w:p>
    <w:p>
      <w:pPr>
        <w:spacing w:after="0" w:before="0"/>
      </w:pPr>
      <w:r>
        <w:rPr>
          <w:b w:val="0"/>
          <w:i w:val="0"/>
          <w:sz w:val="22"/>
        </w:rPr>
        <w:t>(d) Allow the client to drive home alone</w:t>
      </w:r>
    </w:p>
    <w:p>
      <w:pPr>
        <w:spacing w:after="0" w:before="40"/>
      </w:pPr>
      <w:r>
        <w:rPr>
          <w:b/>
          <w:i w:val="0"/>
          <w:sz w:val="22"/>
        </w:rPr>
        <w:t>Answer: a</w:t>
      </w:r>
    </w:p>
    <w:p>
      <w:pPr>
        <w:spacing w:after="0" w:before="0"/>
      </w:pPr>
      <w:r>
        <w:rPr>
          <w:b w:val="0"/>
          <w:i w:val="0"/>
          <w:sz w:val="21"/>
        </w:rPr>
        <w:t>Solution: Topical anaesthesia used for bronchoscopy suppresses the gag reflex, so the client remains NPO until it returns to prevent aspiration; the nurse monitors for haemoptysis, dyspnoea, and pneumothorax. The client rests and is accompanied home after sedation wears off.</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is most consistent with peritonitis?</w:t>
      </w:r>
    </w:p>
    <w:p>
      <w:pPr>
        <w:spacing w:after="0" w:before="0"/>
      </w:pPr>
      <w:r>
        <w:rPr>
          <w:b w:val="0"/>
          <w:i w:val="0"/>
          <w:sz w:val="22"/>
        </w:rPr>
        <w:t>(a) Painless abdominal distension</w:t>
      </w:r>
    </w:p>
    <w:p>
      <w:pPr>
        <w:spacing w:after="0" w:before="0"/>
      </w:pPr>
      <w:r>
        <w:rPr>
          <w:b w:val="0"/>
          <w:i w:val="0"/>
          <w:sz w:val="22"/>
        </w:rPr>
        <w:t>(b) Watery diarrhoea with cramps</w:t>
      </w:r>
    </w:p>
    <w:p>
      <w:pPr>
        <w:spacing w:after="0" w:before="0"/>
      </w:pPr>
      <w:r>
        <w:rPr>
          <w:b w:val="0"/>
          <w:i w:val="0"/>
          <w:sz w:val="22"/>
        </w:rPr>
        <w:t>(c) Mild discomfort with normal bowel sounds</w:t>
      </w:r>
    </w:p>
    <w:p>
      <w:pPr>
        <w:spacing w:after="0" w:before="0"/>
      </w:pPr>
      <w:r>
        <w:rPr>
          <w:b w:val="0"/>
          <w:i w:val="0"/>
          <w:sz w:val="22"/>
        </w:rPr>
        <w:t>(d) Generalised abdominal pain, rigidity, rebound tenderness, and fever</w:t>
      </w:r>
    </w:p>
    <w:p>
      <w:pPr>
        <w:spacing w:after="0" w:before="40"/>
      </w:pPr>
      <w:r>
        <w:rPr>
          <w:b/>
          <w:i w:val="0"/>
          <w:sz w:val="22"/>
        </w:rPr>
        <w:t>Answer: d</w:t>
      </w:r>
    </w:p>
    <w:p>
      <w:pPr>
        <w:spacing w:after="0" w:before="0"/>
      </w:pPr>
      <w:r>
        <w:rPr>
          <w:b w:val="0"/>
          <w:i w:val="0"/>
          <w:sz w:val="21"/>
        </w:rPr>
        <w:t>Solution: Peritonitis, inflammation of the peritoneal cavity usually from a ruptured viscus or infection, causes severe generalised pain, board-like rigidity, rebound tenderness, absent bowel sounds, fever, and signs of sepsis. It is a surgical emergency with fluid resuscitation and antibiotics.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priority when a nurse discovers a client has fallen out of bed?</w:t>
      </w:r>
    </w:p>
    <w:p>
      <w:pPr>
        <w:spacing w:after="0" w:before="0"/>
      </w:pPr>
      <w:r>
        <w:rPr>
          <w:b w:val="0"/>
          <w:i w:val="0"/>
          <w:sz w:val="22"/>
        </w:rPr>
        <w:t>(a) Do not move the client, assess for injury, call for help, and notify the physician</w:t>
      </w:r>
    </w:p>
    <w:p>
      <w:pPr>
        <w:spacing w:after="0" w:before="0"/>
      </w:pPr>
      <w:r>
        <w:rPr>
          <w:b w:val="0"/>
          <w:i w:val="0"/>
          <w:sz w:val="22"/>
        </w:rPr>
        <w:t>(b) Document the incident before assessing the client</w:t>
      </w:r>
    </w:p>
    <w:p>
      <w:pPr>
        <w:spacing w:after="0" w:before="0"/>
      </w:pPr>
      <w:r>
        <w:rPr>
          <w:b w:val="0"/>
          <w:i w:val="0"/>
          <w:sz w:val="22"/>
        </w:rPr>
        <w:t>(c) Move the client to a chair to assess balance</w:t>
      </w:r>
    </w:p>
    <w:p>
      <w:pPr>
        <w:spacing w:after="0" w:before="0"/>
      </w:pPr>
      <w:r>
        <w:rPr>
          <w:b w:val="0"/>
          <w:i w:val="0"/>
          <w:sz w:val="22"/>
        </w:rPr>
        <w:t>(d) Help the client up immediately</w:t>
      </w:r>
    </w:p>
    <w:p>
      <w:pPr>
        <w:spacing w:after="0" w:before="40"/>
      </w:pPr>
      <w:r>
        <w:rPr>
          <w:b/>
          <w:i w:val="0"/>
          <w:sz w:val="22"/>
        </w:rPr>
        <w:t>Answer: a</w:t>
      </w:r>
    </w:p>
    <w:p>
      <w:pPr>
        <w:spacing w:after="0" w:before="0"/>
      </w:pPr>
      <w:r>
        <w:rPr>
          <w:b w:val="0"/>
          <w:i w:val="0"/>
          <w:sz w:val="21"/>
        </w:rPr>
        <w:t>Solution: After a fall the client is not moved until injury is excluded, especially if a fracture or head injury is suspected; the nurse assesses responsiveness and injuries, activates help, and notifies the physician, then completes an incident report and reviews fall-prevention measures.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method to verify the placement of an oropharyngeal airway in an unconscious client?</w:t>
      </w:r>
    </w:p>
    <w:p>
      <w:pPr>
        <w:spacing w:after="0" w:before="0"/>
      </w:pPr>
      <w:r>
        <w:rPr>
          <w:b w:val="0"/>
          <w:i w:val="0"/>
          <w:sz w:val="22"/>
        </w:rPr>
        <w:t>(a) Force it in against resistance</w:t>
      </w:r>
    </w:p>
    <w:p>
      <w:pPr>
        <w:spacing w:after="0" w:before="0"/>
      </w:pPr>
      <w:r>
        <w:rPr>
          <w:b w:val="0"/>
          <w:i w:val="0"/>
          <w:sz w:val="22"/>
        </w:rPr>
        <w:t>(b) Insert it only in conscious clients</w:t>
      </w:r>
    </w:p>
    <w:p>
      <w:pPr>
        <w:spacing w:after="0" w:before="0"/>
      </w:pPr>
      <w:r>
        <w:rPr>
          <w:b w:val="0"/>
          <w:i w:val="0"/>
          <w:sz w:val="22"/>
        </w:rPr>
        <w:t>(c) Insert curved side up and rotate 180 degrees so the flange rests on the lips</w:t>
      </w:r>
    </w:p>
    <w:p>
      <w:pPr>
        <w:spacing w:after="0" w:before="0"/>
      </w:pPr>
      <w:r>
        <w:rPr>
          <w:b w:val="0"/>
          <w:i w:val="0"/>
          <w:sz w:val="22"/>
        </w:rPr>
        <w:t>(d) Insert curved side down without rotation</w:t>
      </w:r>
    </w:p>
    <w:p>
      <w:pPr>
        <w:spacing w:after="0" w:before="40"/>
      </w:pPr>
      <w:r>
        <w:rPr>
          <w:b/>
          <w:i w:val="0"/>
          <w:sz w:val="22"/>
        </w:rPr>
        <w:t>Answer: c</w:t>
      </w:r>
    </w:p>
    <w:p>
      <w:pPr>
        <w:spacing w:after="0" w:before="0"/>
      </w:pPr>
      <w:r>
        <w:rPr>
          <w:b w:val="0"/>
          <w:i w:val="0"/>
          <w:sz w:val="21"/>
        </w:rPr>
        <w:t>Solution: An oropharyngeal airway is inserted with the curve pointing toward the roof of the mouth and rotated 180 degrees as it passes the palate so it follows the natural airway curve; it is used only in unconscious clients without a gag reflex to keep the tongue from obstructing the pharynx.</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instruction is correct for a postpartum client regarding lochia?</w:t>
      </w:r>
    </w:p>
    <w:p>
      <w:pPr>
        <w:spacing w:after="0" w:before="0"/>
      </w:pPr>
      <w:r>
        <w:rPr>
          <w:b w:val="0"/>
          <w:i w:val="0"/>
          <w:sz w:val="22"/>
        </w:rPr>
        <w:t>(a) Lochia rubra lasting longer than one day is abnormal</w:t>
      </w:r>
    </w:p>
    <w:p>
      <w:pPr>
        <w:spacing w:after="0" w:before="0"/>
      </w:pPr>
      <w:r>
        <w:rPr>
          <w:b w:val="0"/>
          <w:i w:val="0"/>
          <w:sz w:val="22"/>
        </w:rPr>
        <w:t>(b) Lochia should remain bright red for four weeks</w:t>
      </w:r>
    </w:p>
    <w:p>
      <w:pPr>
        <w:spacing w:after="0" w:before="0"/>
      </w:pPr>
      <w:r>
        <w:rPr>
          <w:b w:val="0"/>
          <w:i w:val="0"/>
          <w:sz w:val="22"/>
        </w:rPr>
        <w:t>(c) Expect lochia to increase with activity indefinitely</w:t>
      </w:r>
    </w:p>
    <w:p>
      <w:pPr>
        <w:spacing w:after="0" w:before="0"/>
      </w:pPr>
      <w:r>
        <w:rPr>
          <w:b w:val="0"/>
          <w:i w:val="0"/>
          <w:sz w:val="22"/>
        </w:rPr>
        <w:t>(d) Report lochia that becomes heavier, bright red after initially decreasing, or foul smelling</w:t>
      </w:r>
    </w:p>
    <w:p>
      <w:pPr>
        <w:spacing w:after="0" w:before="40"/>
      </w:pPr>
      <w:r>
        <w:rPr>
          <w:b/>
          <w:i w:val="0"/>
          <w:sz w:val="22"/>
        </w:rPr>
        <w:t>Answer: d</w:t>
      </w:r>
    </w:p>
    <w:p>
      <w:pPr>
        <w:spacing w:after="0" w:before="0"/>
      </w:pPr>
      <w:r>
        <w:rPr>
          <w:b w:val="0"/>
          <w:i w:val="0"/>
          <w:sz w:val="21"/>
        </w:rPr>
        <w:t>Solution: Lochia progresses from rubra (red, days 1-3) to serosa (pink-brown, days 4-10) to alba (creamy white, up to 4-6 weeks); a return to heavy bright red bleeding or a foul odour suggests retained products or infection and is reported. Bleeding should not increase persistently.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risk factor for postpartum depression?</w:t>
      </w:r>
    </w:p>
    <w:p>
      <w:pPr>
        <w:spacing w:after="0" w:before="0"/>
      </w:pPr>
      <w:r>
        <w:rPr>
          <w:b w:val="0"/>
          <w:i w:val="0"/>
          <w:sz w:val="22"/>
        </w:rPr>
        <w:t>(a) Early skin-to-skin contact</w:t>
      </w:r>
    </w:p>
    <w:p>
      <w:pPr>
        <w:spacing w:after="0" w:before="0"/>
      </w:pPr>
      <w:r>
        <w:rPr>
          <w:b w:val="0"/>
          <w:i w:val="0"/>
          <w:sz w:val="22"/>
        </w:rPr>
        <w:t>(b) Previous history of depression, lack of social support, and stressful life events</w:t>
      </w:r>
    </w:p>
    <w:p>
      <w:pPr>
        <w:spacing w:after="0" w:before="0"/>
      </w:pPr>
      <w:r>
        <w:rPr>
          <w:b w:val="0"/>
          <w:i w:val="0"/>
          <w:sz w:val="22"/>
        </w:rPr>
        <w:t>(c) A planned and supported pregnancy</w:t>
      </w:r>
    </w:p>
    <w:p>
      <w:pPr>
        <w:spacing w:after="0" w:before="0"/>
      </w:pPr>
      <w:r>
        <w:rPr>
          <w:b w:val="0"/>
          <w:i w:val="0"/>
          <w:sz w:val="22"/>
        </w:rPr>
        <w:t>(d) Breastfeeding on demand</w:t>
      </w:r>
    </w:p>
    <w:p>
      <w:pPr>
        <w:spacing w:after="0" w:before="40"/>
      </w:pPr>
      <w:r>
        <w:rPr>
          <w:b/>
          <w:i w:val="0"/>
          <w:sz w:val="22"/>
        </w:rPr>
        <w:t>Answer: b</w:t>
      </w:r>
    </w:p>
    <w:p>
      <w:pPr>
        <w:spacing w:after="0" w:before="0"/>
      </w:pPr>
      <w:r>
        <w:rPr>
          <w:b w:val="0"/>
          <w:i w:val="0"/>
          <w:sz w:val="21"/>
        </w:rPr>
        <w:t>Solution: Postpartum depression risk is increased by a personal or family history of mood disorder, poor social support, marital stress, and adverse life events. Screening with tools such as the Edinburgh Postnatal Depression Scale and early referral improve outcomes; supportive care is protective, not a risk factor.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position for a client in the second stage of labour to facilitate pushing?</w:t>
      </w:r>
    </w:p>
    <w:p>
      <w:pPr>
        <w:spacing w:after="0" w:before="0"/>
      </w:pPr>
      <w:r>
        <w:rPr>
          <w:b w:val="0"/>
          <w:i w:val="0"/>
          <w:sz w:val="22"/>
        </w:rPr>
        <w:t>(a) Standing and walking continuously</w:t>
      </w:r>
    </w:p>
    <w:p>
      <w:pPr>
        <w:spacing w:after="0" w:before="0"/>
      </w:pPr>
      <w:r>
        <w:rPr>
          <w:b w:val="0"/>
          <w:i w:val="0"/>
          <w:sz w:val="22"/>
        </w:rPr>
        <w:t>(b) Supine flat with legs together</w:t>
      </w:r>
    </w:p>
    <w:p>
      <w:pPr>
        <w:spacing w:after="0" w:before="0"/>
      </w:pPr>
      <w:r>
        <w:rPr>
          <w:b w:val="0"/>
          <w:i w:val="0"/>
          <w:sz w:val="22"/>
        </w:rPr>
        <w:t>(c) Upright positions such as squatting, sitting, or side-lying that use gravity</w:t>
      </w:r>
    </w:p>
    <w:p>
      <w:pPr>
        <w:spacing w:after="0" w:before="0"/>
      </w:pPr>
      <w:r>
        <w:rPr>
          <w:b w:val="0"/>
          <w:i w:val="0"/>
          <w:sz w:val="22"/>
        </w:rPr>
        <w:t>(d) Prone lying</w:t>
      </w:r>
    </w:p>
    <w:p>
      <w:pPr>
        <w:spacing w:after="0" w:before="40"/>
      </w:pPr>
      <w:r>
        <w:rPr>
          <w:b/>
          <w:i w:val="0"/>
          <w:sz w:val="22"/>
        </w:rPr>
        <w:t>Answer: c</w:t>
      </w:r>
    </w:p>
    <w:p>
      <w:pPr>
        <w:spacing w:after="0" w:before="0"/>
      </w:pPr>
      <w:r>
        <w:rPr>
          <w:b w:val="0"/>
          <w:i w:val="0"/>
          <w:sz w:val="21"/>
        </w:rPr>
        <w:t>Solution: Upright and lateral positions in the second stage improve uterine efficiency, use gravity, and reduce aortocaval compression compared with flat supine lying, and they are associated with shorter pushing. The position is chosen with the client based on comfort and fetal status.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Alzheimer disease in its early stage?</w:t>
      </w:r>
    </w:p>
    <w:p>
      <w:pPr>
        <w:spacing w:after="0" w:before="0"/>
      </w:pPr>
      <w:r>
        <w:rPr>
          <w:b w:val="0"/>
          <w:i w:val="0"/>
          <w:sz w:val="22"/>
        </w:rPr>
        <w:t>(a) Sudden onset of hallucinations</w:t>
      </w:r>
    </w:p>
    <w:p>
      <w:pPr>
        <w:spacing w:after="0" w:before="0"/>
      </w:pPr>
      <w:r>
        <w:rPr>
          <w:b w:val="0"/>
          <w:i w:val="0"/>
          <w:sz w:val="22"/>
        </w:rPr>
        <w:t>(b) Complete loss of all motor function</w:t>
      </w:r>
    </w:p>
    <w:p>
      <w:pPr>
        <w:spacing w:after="0" w:before="0"/>
      </w:pPr>
      <w:r>
        <w:rPr>
          <w:b w:val="0"/>
          <w:i w:val="0"/>
          <w:sz w:val="22"/>
        </w:rPr>
        <w:t>(c) Personality change with no memory loss in weeks</w:t>
      </w:r>
    </w:p>
    <w:p>
      <w:pPr>
        <w:spacing w:after="0" w:before="0"/>
      </w:pPr>
      <w:r>
        <w:rPr>
          <w:b w:val="0"/>
          <w:i w:val="0"/>
          <w:sz w:val="22"/>
        </w:rPr>
        <w:t>(d) Short-term memory loss and difficulty finding words with preserved social skills</w:t>
      </w:r>
    </w:p>
    <w:p>
      <w:pPr>
        <w:spacing w:after="0" w:before="40"/>
      </w:pPr>
      <w:r>
        <w:rPr>
          <w:b/>
          <w:i w:val="0"/>
          <w:sz w:val="22"/>
        </w:rPr>
        <w:t>Answer: d</w:t>
      </w:r>
    </w:p>
    <w:p>
      <w:pPr>
        <w:spacing w:after="0" w:before="0"/>
      </w:pPr>
      <w:r>
        <w:rPr>
          <w:b w:val="0"/>
          <w:i w:val="0"/>
          <w:sz w:val="21"/>
        </w:rPr>
        <w:t>Solution: Alzheimer disease begins insidiously with impaired recent memory and word-finding difficulty while social graces are often preserved, progressing to disorientation, judgement loss, and functional decline. A rapid or sudden onset suggests delirium, vascular events, or other causes.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response when a client with dementia repeatedly asks the same question?</w:t>
      </w:r>
    </w:p>
    <w:p>
      <w:pPr>
        <w:spacing w:after="0" w:before="0"/>
      </w:pPr>
      <w:r>
        <w:rPr>
          <w:b w:val="0"/>
          <w:i w:val="0"/>
          <w:sz w:val="22"/>
        </w:rPr>
        <w:t>(a) Tell the client the question was just answered</w:t>
      </w:r>
    </w:p>
    <w:p>
      <w:pPr>
        <w:spacing w:after="0" w:before="0"/>
      </w:pPr>
      <w:r>
        <w:rPr>
          <w:b w:val="0"/>
          <w:i w:val="0"/>
          <w:sz w:val="22"/>
        </w:rPr>
        <w:t>(b) Answer calmly and briefly each time, then redirect to an activity</w:t>
      </w:r>
    </w:p>
    <w:p>
      <w:pPr>
        <w:spacing w:after="0" w:before="0"/>
      </w:pPr>
      <w:r>
        <w:rPr>
          <w:b w:val="0"/>
          <w:i w:val="0"/>
          <w:sz w:val="22"/>
        </w:rPr>
        <w:t>(c) Raise your voice so the client pays attention</w:t>
      </w:r>
    </w:p>
    <w:p>
      <w:pPr>
        <w:spacing w:after="0" w:before="0"/>
      </w:pPr>
      <w:r>
        <w:rPr>
          <w:b w:val="0"/>
          <w:i w:val="0"/>
          <w:sz w:val="22"/>
        </w:rPr>
        <w:t>(d) Ignore the question</w:t>
      </w:r>
    </w:p>
    <w:p>
      <w:pPr>
        <w:spacing w:after="0" w:before="40"/>
      </w:pPr>
      <w:r>
        <w:rPr>
          <w:b/>
          <w:i w:val="0"/>
          <w:sz w:val="22"/>
        </w:rPr>
        <w:t>Answer: b</w:t>
      </w:r>
    </w:p>
    <w:p>
      <w:pPr>
        <w:spacing w:after="0" w:before="0"/>
      </w:pPr>
      <w:r>
        <w:rPr>
          <w:b w:val="0"/>
          <w:i w:val="0"/>
          <w:sz w:val="21"/>
        </w:rPr>
        <w:t>Solution: Repetitive questioning in dementia reflects memory loss and anxiety; the nurse answers gently and briefly, then redirects to a familiar activity, which reduces distress. Scolding or ignoring increases agitation, and raised voices are frightening.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best way to position a preterm infant receiving oxygen by head box to reduce the risk of retinopathy of prematurity?</w:t>
      </w:r>
    </w:p>
    <w:p>
      <w:pPr>
        <w:spacing w:after="0" w:before="0"/>
      </w:pPr>
      <w:r>
        <w:rPr>
          <w:b w:val="0"/>
          <w:i w:val="0"/>
          <w:sz w:val="22"/>
        </w:rPr>
        <w:t>(a) Monitor oxygen saturation closely and use the lowest oxygen concentration that maintains target saturation</w:t>
      </w:r>
    </w:p>
    <w:p>
      <w:pPr>
        <w:spacing w:after="0" w:before="0"/>
      </w:pPr>
      <w:r>
        <w:rPr>
          <w:b w:val="0"/>
          <w:i w:val="0"/>
          <w:sz w:val="22"/>
        </w:rPr>
        <w:t>(b) Place the head box as far from the infant as possible</w:t>
      </w:r>
    </w:p>
    <w:p>
      <w:pPr>
        <w:spacing w:after="0" w:before="0"/>
      </w:pPr>
      <w:r>
        <w:rPr>
          <w:b w:val="0"/>
          <w:i w:val="0"/>
          <w:sz w:val="22"/>
        </w:rPr>
        <w:t>(c) Discontinue oxygen abruptly once saturation is normal</w:t>
      </w:r>
    </w:p>
    <w:p>
      <w:pPr>
        <w:spacing w:after="0" w:before="0"/>
      </w:pPr>
      <w:r>
        <w:rPr>
          <w:b w:val="0"/>
          <w:i w:val="0"/>
          <w:sz w:val="22"/>
        </w:rPr>
        <w:t>(d) Use 100% oxygen at all times</w:t>
      </w:r>
    </w:p>
    <w:p>
      <w:pPr>
        <w:spacing w:after="0" w:before="40"/>
      </w:pPr>
      <w:r>
        <w:rPr>
          <w:b/>
          <w:i w:val="0"/>
          <w:sz w:val="22"/>
        </w:rPr>
        <w:t>Answer: a</w:t>
      </w:r>
    </w:p>
    <w:p>
      <w:pPr>
        <w:spacing w:after="0" w:before="0"/>
      </w:pPr>
      <w:r>
        <w:rPr>
          <w:b w:val="0"/>
          <w:i w:val="0"/>
          <w:sz w:val="21"/>
        </w:rPr>
        <w:t>Solution: ROP risk is reduced by careful oxygen management: targeting saturation within the unit's protocol, weaning oxygen gradually, and avoiding both hypoxia and hyperoxia. High oxygen concentrations and abrupt weaning both damage the developing retina and other organs.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vaccine is given to adolescent girls under the national programme to prevent cervical cancer?</w:t>
      </w:r>
    </w:p>
    <w:p>
      <w:pPr>
        <w:spacing w:after="0" w:before="0"/>
      </w:pPr>
      <w:r>
        <w:rPr>
          <w:b w:val="0"/>
          <w:i w:val="0"/>
          <w:sz w:val="22"/>
        </w:rPr>
        <w:t>(a) Hepatitis A vaccine</w:t>
      </w:r>
    </w:p>
    <w:p>
      <w:pPr>
        <w:spacing w:after="0" w:before="0"/>
      </w:pPr>
      <w:r>
        <w:rPr>
          <w:b w:val="0"/>
          <w:i w:val="0"/>
          <w:sz w:val="22"/>
        </w:rPr>
        <w:t>(b) Rabies vaccine</w:t>
      </w:r>
    </w:p>
    <w:p>
      <w:pPr>
        <w:spacing w:after="0" w:before="0"/>
      </w:pPr>
      <w:r>
        <w:rPr>
          <w:b w:val="0"/>
          <w:i w:val="0"/>
          <w:sz w:val="22"/>
        </w:rPr>
        <w:t>(c) Human papillomavirus vaccine</w:t>
      </w:r>
    </w:p>
    <w:p>
      <w:pPr>
        <w:spacing w:after="0" w:before="0"/>
      </w:pPr>
      <w:r>
        <w:rPr>
          <w:b w:val="0"/>
          <w:i w:val="0"/>
          <w:sz w:val="22"/>
        </w:rPr>
        <w:t>(d) Typhoid conjugate vaccine</w:t>
      </w:r>
    </w:p>
    <w:p>
      <w:pPr>
        <w:spacing w:after="0" w:before="40"/>
      </w:pPr>
      <w:r>
        <w:rPr>
          <w:b/>
          <w:i w:val="0"/>
          <w:sz w:val="22"/>
        </w:rPr>
        <w:t>Answer: c</w:t>
      </w:r>
    </w:p>
    <w:p>
      <w:pPr>
        <w:spacing w:after="0" w:before="0"/>
      </w:pPr>
      <w:r>
        <w:rPr>
          <w:b w:val="0"/>
          <w:i w:val="0"/>
          <w:sz w:val="21"/>
        </w:rPr>
        <w:t>Solution: The HPV vaccine is recommended for girls aged 9-14 (and introduced in national programmes) to prevent infection with oncogenic human papillomavirus types that cause cervical cancer. Hepatitis A, typhoid, and rabies vaccines target other diseases.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strategy is most effective for controlling the spread of tuberculosis in the community?</w:t>
      </w:r>
    </w:p>
    <w:p>
      <w:pPr>
        <w:spacing w:after="0" w:before="0"/>
      </w:pPr>
      <w:r>
        <w:rPr>
          <w:b w:val="0"/>
          <w:i w:val="0"/>
          <w:sz w:val="22"/>
        </w:rPr>
        <w:t>(a) Vaccinating adults with BCG</w:t>
      </w:r>
    </w:p>
    <w:p>
      <w:pPr>
        <w:spacing w:after="0" w:before="0"/>
      </w:pPr>
      <w:r>
        <w:rPr>
          <w:b w:val="0"/>
          <w:i w:val="0"/>
          <w:sz w:val="22"/>
        </w:rPr>
        <w:t>(b) Early case detection, directly observed treatment, and treatment of latent infection</w:t>
      </w:r>
    </w:p>
    <w:p>
      <w:pPr>
        <w:spacing w:after="0" w:before="0"/>
      </w:pPr>
      <w:r>
        <w:rPr>
          <w:b w:val="0"/>
          <w:i w:val="0"/>
          <w:sz w:val="22"/>
        </w:rPr>
        <w:t>(c) Avoiding cough hygiene</w:t>
      </w:r>
    </w:p>
    <w:p>
      <w:pPr>
        <w:spacing w:after="0" w:before="0"/>
      </w:pPr>
      <w:r>
        <w:rPr>
          <w:b w:val="0"/>
          <w:i w:val="0"/>
          <w:sz w:val="22"/>
        </w:rPr>
        <w:t>(d) Isolating all contacts permanently</w:t>
      </w:r>
    </w:p>
    <w:p>
      <w:pPr>
        <w:spacing w:after="0" w:before="40"/>
      </w:pPr>
      <w:r>
        <w:rPr>
          <w:b/>
          <w:i w:val="0"/>
          <w:sz w:val="22"/>
        </w:rPr>
        <w:t>Answer: b</w:t>
      </w:r>
    </w:p>
    <w:p>
      <w:pPr>
        <w:spacing w:after="0" w:before="0"/>
      </w:pPr>
      <w:r>
        <w:rPr>
          <w:b w:val="0"/>
          <w:i w:val="0"/>
          <w:sz w:val="21"/>
        </w:rPr>
        <w:t>Solution: TB control depends on finding and treating infectious cases with directly observed therapy short-course (DOTS), screening and treating latent infection and contacts, and infection-control measures. BCG protects children against severe forms but is not the main control tool in adults.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healthy community as described in community health nursing?</w:t>
      </w:r>
    </w:p>
    <w:p>
      <w:pPr>
        <w:spacing w:after="0" w:before="0"/>
      </w:pPr>
      <w:r>
        <w:rPr>
          <w:b w:val="0"/>
          <w:i w:val="0"/>
          <w:sz w:val="22"/>
        </w:rPr>
        <w:t>(a) Low rates of preventable disease, accessible health services, and community participation</w:t>
      </w:r>
    </w:p>
    <w:p>
      <w:pPr>
        <w:spacing w:after="0" w:before="0"/>
      </w:pPr>
      <w:r>
        <w:rPr>
          <w:b w:val="0"/>
          <w:i w:val="0"/>
          <w:sz w:val="22"/>
        </w:rPr>
        <w:t>(b) Health care provided only by physicians</w:t>
      </w:r>
    </w:p>
    <w:p>
      <w:pPr>
        <w:spacing w:after="0" w:before="0"/>
      </w:pPr>
      <w:r>
        <w:rPr>
          <w:b w:val="0"/>
          <w:i w:val="0"/>
          <w:sz w:val="22"/>
        </w:rPr>
        <w:t>(c) High dependence on hospital-based curative care only</w:t>
      </w:r>
    </w:p>
    <w:p>
      <w:pPr>
        <w:spacing w:after="0" w:before="0"/>
      </w:pPr>
      <w:r>
        <w:rPr>
          <w:b w:val="0"/>
          <w:i w:val="0"/>
          <w:sz w:val="22"/>
        </w:rPr>
        <w:t>(d) Absence of all disease</w:t>
      </w:r>
    </w:p>
    <w:p>
      <w:pPr>
        <w:spacing w:after="0" w:before="40"/>
      </w:pPr>
      <w:r>
        <w:rPr>
          <w:b/>
          <w:i w:val="0"/>
          <w:sz w:val="22"/>
        </w:rPr>
        <w:t>Answer: a</w:t>
      </w:r>
    </w:p>
    <w:p>
      <w:pPr>
        <w:spacing w:after="0" w:before="0"/>
      </w:pPr>
      <w:r>
        <w:rPr>
          <w:b w:val="0"/>
          <w:i w:val="0"/>
          <w:sz w:val="21"/>
        </w:rPr>
        <w:t>Solution: A healthy community has low morbidity and mortality from preventable causes, equitable access to promotive, preventive, and curative services, safe environment, and active community participation in health programmes. Health is more than the absence of disease.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common side effect of opioid analgesics that requires nursing intervention?</w:t>
      </w:r>
    </w:p>
    <w:p>
      <w:pPr>
        <w:spacing w:after="0" w:before="0"/>
      </w:pPr>
      <w:r>
        <w:rPr>
          <w:b w:val="0"/>
          <w:i w:val="0"/>
          <w:sz w:val="22"/>
        </w:rPr>
        <w:t>(a) Diarrhoea</w:t>
      </w:r>
    </w:p>
    <w:p>
      <w:pPr>
        <w:spacing w:after="0" w:before="0"/>
      </w:pPr>
      <w:r>
        <w:rPr>
          <w:b w:val="0"/>
          <w:i w:val="0"/>
          <w:sz w:val="22"/>
        </w:rPr>
        <w:t>(b) Hypotension from vasodilation is rare and mild</w:t>
      </w:r>
    </w:p>
    <w:p>
      <w:pPr>
        <w:spacing w:after="0" w:before="0"/>
      </w:pPr>
      <w:r>
        <w:rPr>
          <w:b w:val="0"/>
          <w:i w:val="0"/>
          <w:sz w:val="22"/>
        </w:rPr>
        <w:t>(c) Respiratory depression and constipation</w:t>
      </w:r>
    </w:p>
    <w:p>
      <w:pPr>
        <w:spacing w:after="0" w:before="0"/>
      </w:pPr>
      <w:r>
        <w:rPr>
          <w:b w:val="0"/>
          <w:i w:val="0"/>
          <w:sz w:val="22"/>
        </w:rPr>
        <w:t>(d) Hyperactivity</w:t>
      </w:r>
    </w:p>
    <w:p>
      <w:pPr>
        <w:spacing w:after="0" w:before="40"/>
      </w:pPr>
      <w:r>
        <w:rPr>
          <w:b/>
          <w:i w:val="0"/>
          <w:sz w:val="22"/>
        </w:rPr>
        <w:t>Answer: c</w:t>
      </w:r>
    </w:p>
    <w:p>
      <w:pPr>
        <w:spacing w:after="0" w:before="0"/>
      </w:pPr>
      <w:r>
        <w:rPr>
          <w:b w:val="0"/>
          <w:i w:val="0"/>
          <w:sz w:val="21"/>
        </w:rPr>
        <w:t>Solution: Opioids depress the respiratory centre and slow gastrointestinal motility, causing respiratory depression, constipation, nausea, and sedation; nurses monitor respiratory rate and depth, use naloxone for significant depression, and institute bowel regimens. Diarrhoea and hyperactivity are not opioid effects.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term describes the spread of cancer cells through the bloodstream to distant organs?</w:t>
      </w:r>
    </w:p>
    <w:p>
      <w:pPr>
        <w:spacing w:after="0" w:before="0"/>
      </w:pPr>
      <w:r>
        <w:rPr>
          <w:b w:val="0"/>
          <w:i w:val="0"/>
          <w:sz w:val="22"/>
        </w:rPr>
        <w:t>(a) Carcinogenesis</w:t>
      </w:r>
    </w:p>
    <w:p>
      <w:pPr>
        <w:spacing w:after="0" w:before="0"/>
      </w:pPr>
      <w:r>
        <w:rPr>
          <w:b w:val="0"/>
          <w:i w:val="0"/>
          <w:sz w:val="22"/>
        </w:rPr>
        <w:t>(b) Direct invasion</w:t>
      </w:r>
    </w:p>
    <w:p>
      <w:pPr>
        <w:spacing w:after="0" w:before="0"/>
      </w:pPr>
      <w:r>
        <w:rPr>
          <w:b w:val="0"/>
          <w:i w:val="0"/>
          <w:sz w:val="22"/>
        </w:rPr>
        <w:t>(c) Haematogenous metastasis</w:t>
      </w:r>
    </w:p>
    <w:p>
      <w:pPr>
        <w:spacing w:after="0" w:before="0"/>
      </w:pPr>
      <w:r>
        <w:rPr>
          <w:b w:val="0"/>
          <w:i w:val="0"/>
          <w:sz w:val="22"/>
        </w:rPr>
        <w:t>(d) Lymphatic spread</w:t>
      </w:r>
    </w:p>
    <w:p>
      <w:pPr>
        <w:spacing w:after="0" w:before="40"/>
      </w:pPr>
      <w:r>
        <w:rPr>
          <w:b/>
          <w:i w:val="0"/>
          <w:sz w:val="22"/>
        </w:rPr>
        <w:t>Answer: c</w:t>
      </w:r>
    </w:p>
    <w:p>
      <w:pPr>
        <w:spacing w:after="0" w:before="0"/>
      </w:pPr>
      <w:r>
        <w:rPr>
          <w:b w:val="0"/>
          <w:i w:val="0"/>
          <w:sz w:val="21"/>
        </w:rPr>
        <w:t>Solution: Haematogenous metastasis is dissemination of malignant cells through the blood, classically to the liver, lungs, brain, and bones. Direct invasion is local extension, lymphatic spread travels via lymph nodes, and carcinogenesis is the process of cancer development.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child has Down syndrome. Which chromosomal abnormality is responsible?</w:t>
      </w:r>
    </w:p>
    <w:p>
      <w:pPr>
        <w:spacing w:after="0" w:before="0"/>
      </w:pPr>
      <w:r>
        <w:rPr>
          <w:b w:val="0"/>
          <w:i w:val="0"/>
          <w:sz w:val="22"/>
        </w:rPr>
        <w:t>(a) Trisomy 18</w:t>
      </w:r>
    </w:p>
    <w:p>
      <w:pPr>
        <w:spacing w:after="0" w:before="0"/>
      </w:pPr>
      <w:r>
        <w:rPr>
          <w:b w:val="0"/>
          <w:i w:val="0"/>
          <w:sz w:val="22"/>
        </w:rPr>
        <w:t>(b) Klinefelter syndrome (47,XXY)</w:t>
      </w:r>
    </w:p>
    <w:p>
      <w:pPr>
        <w:spacing w:after="0" w:before="0"/>
      </w:pPr>
      <w:r>
        <w:rPr>
          <w:b w:val="0"/>
          <w:i w:val="0"/>
          <w:sz w:val="22"/>
        </w:rPr>
        <w:t>(c) Turner syndrome (45,X)</w:t>
      </w:r>
    </w:p>
    <w:p>
      <w:pPr>
        <w:spacing w:after="0" w:before="0"/>
      </w:pPr>
      <w:r>
        <w:rPr>
          <w:b w:val="0"/>
          <w:i w:val="0"/>
          <w:sz w:val="22"/>
        </w:rPr>
        <w:t>(d) Trisomy 21</w:t>
      </w:r>
    </w:p>
    <w:p>
      <w:pPr>
        <w:spacing w:after="0" w:before="40"/>
      </w:pPr>
      <w:r>
        <w:rPr>
          <w:b/>
          <w:i w:val="0"/>
          <w:sz w:val="22"/>
        </w:rPr>
        <w:t>Answer: d</w:t>
      </w:r>
    </w:p>
    <w:p>
      <w:pPr>
        <w:spacing w:after="0" w:before="0"/>
      </w:pPr>
      <w:r>
        <w:rPr>
          <w:b w:val="0"/>
          <w:i w:val="0"/>
          <w:sz w:val="21"/>
        </w:rPr>
        <w:t>Solution: Down syndrome is most often caused by an extra copy of chromosome 21 (trisomy 21), producing intellectual disability, characteristic facial features, congenital heart defects, and hypotonia. Trisomy 18 (Edwards) and 13 (Patau) are more severe, and the sex chromosome aneuploidies have different features.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leadership style is most appropriate during a cardiac arrest emergency in the intensive care unit?</w:t>
      </w:r>
    </w:p>
    <w:p>
      <w:pPr>
        <w:spacing w:after="0" w:before="0"/>
      </w:pPr>
      <w:r>
        <w:rPr>
          <w:b w:val="0"/>
          <w:i w:val="0"/>
          <w:sz w:val="22"/>
        </w:rPr>
        <w:t>(a) Laissez-faire leadership</w:t>
      </w:r>
    </w:p>
    <w:p>
      <w:pPr>
        <w:spacing w:after="0" w:before="0"/>
      </w:pPr>
      <w:r>
        <w:rPr>
          <w:b w:val="0"/>
          <w:i w:val="0"/>
          <w:sz w:val="22"/>
        </w:rPr>
        <w:t>(b) Autocratic leadership with clear, immediate direction</w:t>
      </w:r>
    </w:p>
    <w:p>
      <w:pPr>
        <w:spacing w:after="0" w:before="0"/>
      </w:pPr>
      <w:r>
        <w:rPr>
          <w:b w:val="0"/>
          <w:i w:val="0"/>
          <w:sz w:val="22"/>
        </w:rPr>
        <w:t>(c) Bureaucratic rule following only</w:t>
      </w:r>
    </w:p>
    <w:p>
      <w:pPr>
        <w:spacing w:after="0" w:before="0"/>
      </w:pPr>
      <w:r>
        <w:rPr>
          <w:b w:val="0"/>
          <w:i w:val="0"/>
          <w:sz w:val="22"/>
        </w:rPr>
        <w:t>(d) Democratic consensus building</w:t>
      </w:r>
    </w:p>
    <w:p>
      <w:pPr>
        <w:spacing w:after="0" w:before="40"/>
      </w:pPr>
      <w:r>
        <w:rPr>
          <w:b/>
          <w:i w:val="0"/>
          <w:sz w:val="22"/>
        </w:rPr>
        <w:t>Answer: b</w:t>
      </w:r>
    </w:p>
    <w:p>
      <w:pPr>
        <w:spacing w:after="0" w:before="0"/>
      </w:pPr>
      <w:r>
        <w:rPr>
          <w:b w:val="0"/>
          <w:i w:val="0"/>
          <w:sz w:val="21"/>
        </w:rPr>
        <w:t>Solution: In a time-critical emergency such as cardiac arrest, autocratic (directive) leadership provides clear, rapid decisions and role assignment that save time and reduce confusion. Democratic and laissez-faire styles suit planning and routine care, not immediate crises.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intervention for a client with anorexia nervosa during refeeding?</w:t>
      </w:r>
    </w:p>
    <w:p>
      <w:pPr>
        <w:spacing w:after="0" w:before="0"/>
      </w:pPr>
      <w:r>
        <w:rPr>
          <w:b w:val="0"/>
          <w:i w:val="0"/>
          <w:sz w:val="22"/>
        </w:rPr>
        <w:t>(a) Withhold supplements to avoid weight gain</w:t>
      </w:r>
    </w:p>
    <w:p>
      <w:pPr>
        <w:spacing w:after="0" w:before="0"/>
      </w:pPr>
      <w:r>
        <w:rPr>
          <w:b w:val="0"/>
          <w:i w:val="0"/>
          <w:sz w:val="22"/>
        </w:rPr>
        <w:t>(b) Monitor for refeeding syndrome with serial electrolytes, especially phosphate, and cardiac status</w:t>
      </w:r>
    </w:p>
    <w:p>
      <w:pPr>
        <w:spacing w:after="0" w:before="0"/>
      </w:pPr>
      <w:r>
        <w:rPr>
          <w:b w:val="0"/>
          <w:i w:val="0"/>
          <w:sz w:val="22"/>
        </w:rPr>
        <w:t>(c) Encourage the client to eat as much as possible in one meal</w:t>
      </w:r>
    </w:p>
    <w:p>
      <w:pPr>
        <w:spacing w:after="0" w:before="0"/>
      </w:pPr>
      <w:r>
        <w:rPr>
          <w:b w:val="0"/>
          <w:i w:val="0"/>
          <w:sz w:val="22"/>
        </w:rPr>
        <w:t>(d) Restrict fluids completely</w:t>
      </w:r>
    </w:p>
    <w:p>
      <w:pPr>
        <w:spacing w:after="0" w:before="40"/>
      </w:pPr>
      <w:r>
        <w:rPr>
          <w:b/>
          <w:i w:val="0"/>
          <w:sz w:val="22"/>
        </w:rPr>
        <w:t>Answer: b</w:t>
      </w:r>
    </w:p>
    <w:p>
      <w:pPr>
        <w:spacing w:after="0" w:before="0"/>
      </w:pPr>
      <w:r>
        <w:rPr>
          <w:b w:val="0"/>
          <w:i w:val="0"/>
          <w:sz w:val="21"/>
        </w:rPr>
        <w:t>Solution: Refeeding after starvation can precipitate refeeding syndrome with dangerous hypophosphataemia, arrhythmias, and heart failure, so intake is advanced gradually with close monitoring of electrolytes and cardiac status. The treatment team, including a dietitian and physician, manages the plan.</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