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Which is a priority nursing intervention for a client with hypovolaemic shock?</w:t>
      </w:r>
    </w:p>
    <w:p>
      <w:pPr>
        <w:spacing w:after="0" w:before="0"/>
      </w:pPr>
      <w:r>
        <w:rPr>
          <w:b w:val="0"/>
          <w:i w:val="0"/>
          <w:sz w:val="22"/>
        </w:rPr>
        <w:t>(a) Withhold fluids until blood pressure falls</w:t>
      </w:r>
    </w:p>
    <w:p>
      <w:pPr>
        <w:spacing w:after="0" w:before="0"/>
      </w:pPr>
      <w:r>
        <w:rPr>
          <w:b w:val="0"/>
          <w:i w:val="0"/>
          <w:sz w:val="22"/>
        </w:rPr>
        <w:t>(b) Give oral fluids in small sips</w:t>
      </w:r>
    </w:p>
    <w:p>
      <w:pPr>
        <w:spacing w:after="0" w:before="0"/>
      </w:pPr>
      <w:r>
        <w:rPr>
          <w:b w:val="0"/>
          <w:i w:val="0"/>
          <w:sz w:val="22"/>
        </w:rPr>
        <w:t>(c) Elevate the legs only and observe</w:t>
      </w:r>
    </w:p>
    <w:p>
      <w:pPr>
        <w:spacing w:after="0" w:before="0"/>
      </w:pPr>
      <w:r>
        <w:rPr>
          <w:b w:val="0"/>
          <w:i w:val="0"/>
          <w:sz w:val="22"/>
        </w:rPr>
        <w:t>(d) Establish large-bore IV access, give warmed fluids rapidly, and monitor urine output and vital signs</w:t>
      </w:r>
    </w:p>
    <w:p>
      <w:pPr>
        <w:spacing w:after="0" w:before="40"/>
      </w:pPr>
      <w:r>
        <w:rPr>
          <w:b/>
          <w:i w:val="0"/>
          <w:sz w:val="22"/>
        </w:rPr>
        <w:t>Answer: d</w:t>
      </w:r>
    </w:p>
    <w:p>
      <w:pPr>
        <w:spacing w:after="0" w:before="0"/>
      </w:pPr>
      <w:r>
        <w:rPr>
          <w:b w:val="0"/>
          <w:i w:val="0"/>
          <w:sz w:val="21"/>
        </w:rPr>
        <w:t>Solution: Hypovolaemic shock is treated by replacing volume: large-bore IV access, rapid warmed crystalloid infusion, blood products as needed, and monitoring of urine output, vital signs, and mental status. Oral fluids are unsafe in shock, and waiting worsens organ hypoperfusion.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position for a client with a suspected fracture of the cervical spine?</w:t>
      </w:r>
    </w:p>
    <w:p>
      <w:pPr>
        <w:spacing w:after="0" w:before="0"/>
      </w:pPr>
      <w:r>
        <w:rPr>
          <w:b w:val="0"/>
          <w:i w:val="0"/>
          <w:sz w:val="22"/>
        </w:rPr>
        <w:t>(a) Turn the head side to side to assess range of motion</w:t>
      </w:r>
    </w:p>
    <w:p>
      <w:pPr>
        <w:spacing w:after="0" w:before="0"/>
      </w:pPr>
      <w:r>
        <w:rPr>
          <w:b w:val="0"/>
          <w:i w:val="0"/>
          <w:sz w:val="22"/>
        </w:rPr>
        <w:t>(b) Immobilise the head and neck in a neutral position with a cervical collar and spine precautions</w:t>
      </w:r>
    </w:p>
    <w:p>
      <w:pPr>
        <w:spacing w:after="0" w:before="0"/>
      </w:pPr>
      <w:r>
        <w:rPr>
          <w:b w:val="0"/>
          <w:i w:val="0"/>
          <w:sz w:val="22"/>
        </w:rPr>
        <w:t>(c) Ask the client to sit up and touch the toes</w:t>
      </w:r>
    </w:p>
    <w:p>
      <w:pPr>
        <w:spacing w:after="0" w:before="0"/>
      </w:pPr>
      <w:r>
        <w:rPr>
          <w:b w:val="0"/>
          <w:i w:val="0"/>
          <w:sz w:val="22"/>
        </w:rPr>
        <w:t>(d) Elevate the head of the bed to 90 degrees</w:t>
      </w:r>
    </w:p>
    <w:p>
      <w:pPr>
        <w:spacing w:after="0" w:before="40"/>
      </w:pPr>
      <w:r>
        <w:rPr>
          <w:b/>
          <w:i w:val="0"/>
          <w:sz w:val="22"/>
        </w:rPr>
        <w:t>Answer: b</w:t>
      </w:r>
    </w:p>
    <w:p>
      <w:pPr>
        <w:spacing w:after="0" w:before="0"/>
      </w:pPr>
      <w:r>
        <w:rPr>
          <w:b w:val="0"/>
          <w:i w:val="0"/>
          <w:sz w:val="21"/>
        </w:rPr>
        <w:t>Solution: Any client with suspected cervical spine injury is kept in neutral alignment with manual stabilisation or a cervical collar and log-rolled as a unit, because movement can convert a fracture into a spinal cord injury. The spine is immobilised until injury is excluded.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assessment for a client with a head injury and suspected raised intracranial pressure?</w:t>
      </w:r>
    </w:p>
    <w:p>
      <w:pPr>
        <w:spacing w:after="0" w:before="0"/>
      </w:pPr>
      <w:r>
        <w:rPr>
          <w:b w:val="0"/>
          <w:i w:val="0"/>
          <w:sz w:val="22"/>
        </w:rPr>
        <w:t>(a) Level of consciousness, pupillary response, and vital signs including temperature</w:t>
      </w:r>
    </w:p>
    <w:p>
      <w:pPr>
        <w:spacing w:after="0" w:before="0"/>
      </w:pPr>
      <w:r>
        <w:rPr>
          <w:b w:val="0"/>
          <w:i w:val="0"/>
          <w:sz w:val="22"/>
        </w:rPr>
        <w:t>(b) Joint range of motion</w:t>
      </w:r>
    </w:p>
    <w:p>
      <w:pPr>
        <w:spacing w:after="0" w:before="0"/>
      </w:pPr>
      <w:r>
        <w:rPr>
          <w:b w:val="0"/>
          <w:i w:val="0"/>
          <w:sz w:val="22"/>
        </w:rPr>
        <w:t>(c) Bowel sounds and dietary tolerance</w:t>
      </w:r>
    </w:p>
    <w:p>
      <w:pPr>
        <w:spacing w:after="0" w:before="0"/>
      </w:pPr>
      <w:r>
        <w:rPr>
          <w:b w:val="0"/>
          <w:i w:val="0"/>
          <w:sz w:val="22"/>
        </w:rPr>
        <w:t>(d) Skin turgor</w:t>
      </w:r>
    </w:p>
    <w:p>
      <w:pPr>
        <w:spacing w:after="0" w:before="40"/>
      </w:pPr>
      <w:r>
        <w:rPr>
          <w:b/>
          <w:i w:val="0"/>
          <w:sz w:val="22"/>
        </w:rPr>
        <w:t>Answer: a</w:t>
      </w:r>
    </w:p>
    <w:p>
      <w:pPr>
        <w:spacing w:after="0" w:before="0"/>
      </w:pPr>
      <w:r>
        <w:rPr>
          <w:b w:val="0"/>
          <w:i w:val="0"/>
          <w:sz w:val="21"/>
        </w:rPr>
        <w:t>Solution: Raised intracranial pressure is detected by a falling level of consciousness, pupillary changes, and the Cushing response (hypertension, bradycardia, irregular breathing), along with fever, so these are assessed frequently with a neurological scale such as the Glasgow Coma Scale.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instruction is correct for a client who has had a hernia repair and is going home?</w:t>
      </w:r>
    </w:p>
    <w:p>
      <w:pPr>
        <w:spacing w:after="0" w:before="0"/>
      </w:pPr>
      <w:r>
        <w:rPr>
          <w:b w:val="0"/>
          <w:i w:val="0"/>
          <w:sz w:val="22"/>
        </w:rPr>
        <w:t>(a) Expect urinary retention to resolve without reporting</w:t>
      </w:r>
    </w:p>
    <w:p>
      <w:pPr>
        <w:spacing w:after="0" w:before="0"/>
      </w:pPr>
      <w:r>
        <w:rPr>
          <w:b w:val="0"/>
          <w:i w:val="0"/>
          <w:sz w:val="22"/>
        </w:rPr>
        <w:t>(b) Remove the dressing and soak in a hot bath the same day</w:t>
      </w:r>
    </w:p>
    <w:p>
      <w:pPr>
        <w:spacing w:after="0" w:before="0"/>
      </w:pPr>
      <w:r>
        <w:rPr>
          <w:b w:val="0"/>
          <w:i w:val="0"/>
          <w:sz w:val="22"/>
        </w:rPr>
        <w:t>(c) Resume heavy lifting immediately</w:t>
      </w:r>
    </w:p>
    <w:p>
      <w:pPr>
        <w:spacing w:after="0" w:before="0"/>
      </w:pPr>
      <w:r>
        <w:rPr>
          <w:b w:val="0"/>
          <w:i w:val="0"/>
          <w:sz w:val="22"/>
        </w:rPr>
        <w:t>(d) Avoid heavy lifting and straining for several weeks, and report severe pain, swelling, or fever</w:t>
      </w:r>
    </w:p>
    <w:p>
      <w:pPr>
        <w:spacing w:after="0" w:before="40"/>
      </w:pPr>
      <w:r>
        <w:rPr>
          <w:b/>
          <w:i w:val="0"/>
          <w:sz w:val="22"/>
        </w:rPr>
        <w:t>Answer: d</w:t>
      </w:r>
    </w:p>
    <w:p>
      <w:pPr>
        <w:spacing w:after="0" w:before="0"/>
      </w:pPr>
      <w:r>
        <w:rPr>
          <w:b w:val="0"/>
          <w:i w:val="0"/>
          <w:sz w:val="21"/>
        </w:rPr>
        <w:t>Solution: After hernia repair the surgical repair needs time to heal: the client avoids heavy lifting and straining, keeps the wound dry, uses stool softeners to prevent constipation, and reports signs of infection, bleeding, or recurrent hernia such as a new bulge or severe pain.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client with an actively bleeding gastric ulcer?</w:t>
      </w:r>
    </w:p>
    <w:p>
      <w:pPr>
        <w:spacing w:after="0" w:before="0"/>
      </w:pPr>
      <w:r>
        <w:rPr>
          <w:b w:val="0"/>
          <w:i w:val="0"/>
          <w:sz w:val="22"/>
        </w:rPr>
        <w:t>(a) Give the client a meal to buffer the acid</w:t>
      </w:r>
    </w:p>
    <w:p>
      <w:pPr>
        <w:spacing w:after="0" w:before="0"/>
      </w:pPr>
      <w:r>
        <w:rPr>
          <w:b w:val="0"/>
          <w:i w:val="0"/>
          <w:sz w:val="22"/>
        </w:rPr>
        <w:t>(b) Apply cold compresses to the abdomen</w:t>
      </w:r>
    </w:p>
    <w:p>
      <w:pPr>
        <w:spacing w:after="0" w:before="0"/>
      </w:pPr>
      <w:r>
        <w:rPr>
          <w:b w:val="0"/>
          <w:i w:val="0"/>
          <w:sz w:val="22"/>
        </w:rPr>
        <w:t>(c) Maintain IV access, monitor vital signs and haemoglobin, keep the client NPO, and prepare for endoscopy</w:t>
      </w:r>
    </w:p>
    <w:p>
      <w:pPr>
        <w:spacing w:after="0" w:before="0"/>
      </w:pPr>
      <w:r>
        <w:rPr>
          <w:b w:val="0"/>
          <w:i w:val="0"/>
          <w:sz w:val="22"/>
        </w:rPr>
        <w:t>(d) Encourage the client to walk around</w:t>
      </w:r>
    </w:p>
    <w:p>
      <w:pPr>
        <w:spacing w:after="0" w:before="40"/>
      </w:pPr>
      <w:r>
        <w:rPr>
          <w:b/>
          <w:i w:val="0"/>
          <w:sz w:val="22"/>
        </w:rPr>
        <w:t>Answer: c</w:t>
      </w:r>
    </w:p>
    <w:p>
      <w:pPr>
        <w:spacing w:after="0" w:before="0"/>
      </w:pPr>
      <w:r>
        <w:rPr>
          <w:b w:val="0"/>
          <w:i w:val="0"/>
          <w:sz w:val="21"/>
        </w:rPr>
        <w:t>Solution: Upper GI bleeding is managed with resuscitation, IV access, monitoring, NPO status, and urgent endoscopy for diagnosis and treatment such as clipping or injection. Oral intake and activity are restricted until bleeding is controlled.</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way to administer an eye drop?</w:t>
      </w:r>
    </w:p>
    <w:p>
      <w:pPr>
        <w:spacing w:after="0" w:before="0"/>
      </w:pPr>
      <w:r>
        <w:rPr>
          <w:b w:val="0"/>
          <w:i w:val="0"/>
          <w:sz w:val="22"/>
        </w:rPr>
        <w:t>(a) Instil several drops at once without waiting</w:t>
      </w:r>
    </w:p>
    <w:p>
      <w:pPr>
        <w:spacing w:after="0" w:before="0"/>
      </w:pPr>
      <w:r>
        <w:rPr>
          <w:b w:val="0"/>
          <w:i w:val="0"/>
          <w:sz w:val="22"/>
        </w:rPr>
        <w:t>(b) Tilt the head back, pull the lower lid down, instil the drop into the conjunctival sac without touching the eye, and apply gentle pressure over the inner canthus if prescribed</w:t>
      </w:r>
    </w:p>
    <w:p>
      <w:pPr>
        <w:spacing w:after="0" w:before="0"/>
      </w:pPr>
      <w:r>
        <w:rPr>
          <w:b w:val="0"/>
          <w:i w:val="0"/>
          <w:sz w:val="22"/>
        </w:rPr>
        <w:t>(c) Touch the dropper tip to the eye to aim</w:t>
      </w:r>
    </w:p>
    <w:p>
      <w:pPr>
        <w:spacing w:after="0" w:before="0"/>
      </w:pPr>
      <w:r>
        <w:rPr>
          <w:b w:val="0"/>
          <w:i w:val="0"/>
          <w:sz w:val="22"/>
        </w:rPr>
        <w:t>(d) Place the drop directly on the cornea</w:t>
      </w:r>
    </w:p>
    <w:p>
      <w:pPr>
        <w:spacing w:after="0" w:before="40"/>
      </w:pPr>
      <w:r>
        <w:rPr>
          <w:b/>
          <w:i w:val="0"/>
          <w:sz w:val="22"/>
        </w:rPr>
        <w:t>Answer: b</w:t>
      </w:r>
    </w:p>
    <w:p>
      <w:pPr>
        <w:spacing w:after="0" w:before="0"/>
      </w:pPr>
      <w:r>
        <w:rPr>
          <w:b w:val="0"/>
          <w:i w:val="0"/>
          <w:sz w:val="21"/>
        </w:rPr>
        <w:t>Solution: Eye drops are instilled into the lower conjunctival sac with the dropper held above the eye; touching the tip contaminates the bottle, and nasolacrimal occlusion may be used to reduce systemic absorption. The nurse waits between different drops and stores the bottle properly.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when administering a medication to a client with dysphagia?</w:t>
      </w:r>
    </w:p>
    <w:p>
      <w:pPr>
        <w:spacing w:after="0" w:before="0"/>
      </w:pPr>
      <w:r>
        <w:rPr>
          <w:b w:val="0"/>
          <w:i w:val="0"/>
          <w:sz w:val="22"/>
        </w:rPr>
        <w:t>(a) Give the medication with the client lying flat</w:t>
      </w:r>
    </w:p>
    <w:p>
      <w:pPr>
        <w:spacing w:after="0" w:before="0"/>
      </w:pPr>
      <w:r>
        <w:rPr>
          <w:b w:val="0"/>
          <w:i w:val="0"/>
          <w:sz w:val="22"/>
        </w:rPr>
        <w:t>(b) Crush all tablets regardless of formulation</w:t>
      </w:r>
    </w:p>
    <w:p>
      <w:pPr>
        <w:spacing w:after="0" w:before="0"/>
      </w:pPr>
      <w:r>
        <w:rPr>
          <w:b w:val="0"/>
          <w:i w:val="0"/>
          <w:sz w:val="22"/>
        </w:rPr>
        <w:t>(c) Assess the swallow, use the appropriate formulation (liquid, crushed with advice) and position the client upright</w:t>
      </w:r>
    </w:p>
    <w:p>
      <w:pPr>
        <w:spacing w:after="0" w:before="0"/>
      </w:pPr>
      <w:r>
        <w:rPr>
          <w:b w:val="0"/>
          <w:i w:val="0"/>
          <w:sz w:val="22"/>
        </w:rPr>
        <w:t>(d) Mix all tablets into a full glass of water</w:t>
      </w:r>
    </w:p>
    <w:p>
      <w:pPr>
        <w:spacing w:after="0" w:before="40"/>
      </w:pPr>
      <w:r>
        <w:rPr>
          <w:b/>
          <w:i w:val="0"/>
          <w:sz w:val="22"/>
        </w:rPr>
        <w:t>Answer: c</w:t>
      </w:r>
    </w:p>
    <w:p>
      <w:pPr>
        <w:spacing w:after="0" w:before="0"/>
      </w:pPr>
      <w:r>
        <w:rPr>
          <w:b w:val="0"/>
          <w:i w:val="0"/>
          <w:sz w:val="21"/>
        </w:rPr>
        <w:t>Solution: Dysphagia requires an individualised approach: verify the swallow, use liquids or crushable formulations as the pharmacist advises (never enteric-coated or sustained-release forms), and give the dose with the client upright to prevent aspiration.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order for applying personal protective equipment when entering a contact isolation room?</w:t>
      </w:r>
    </w:p>
    <w:p>
      <w:pPr>
        <w:spacing w:after="0" w:before="0"/>
      </w:pPr>
      <w:r>
        <w:rPr>
          <w:b w:val="0"/>
          <w:i w:val="0"/>
          <w:sz w:val="22"/>
        </w:rPr>
        <w:t>(a) Gown, mask or respirator, goggles or face shield, then gloves</w:t>
      </w:r>
    </w:p>
    <w:p>
      <w:pPr>
        <w:spacing w:after="0" w:before="0"/>
      </w:pPr>
      <w:r>
        <w:rPr>
          <w:b w:val="0"/>
          <w:i w:val="0"/>
          <w:sz w:val="22"/>
        </w:rPr>
        <w:t>(b) Mask last after touching the client</w:t>
      </w:r>
    </w:p>
    <w:p>
      <w:pPr>
        <w:spacing w:after="0" w:before="0"/>
      </w:pPr>
      <w:r>
        <w:rPr>
          <w:b w:val="0"/>
          <w:i w:val="0"/>
          <w:sz w:val="22"/>
        </w:rPr>
        <w:t>(c) No specific order is needed</w:t>
      </w:r>
    </w:p>
    <w:p>
      <w:pPr>
        <w:spacing w:after="0" w:before="0"/>
      </w:pPr>
      <w:r>
        <w:rPr>
          <w:b w:val="0"/>
          <w:i w:val="0"/>
          <w:sz w:val="22"/>
        </w:rPr>
        <w:t>(d) Gloves first, then gown</w:t>
      </w:r>
    </w:p>
    <w:p>
      <w:pPr>
        <w:spacing w:after="0" w:before="40"/>
      </w:pPr>
      <w:r>
        <w:rPr>
          <w:b/>
          <w:i w:val="0"/>
          <w:sz w:val="22"/>
        </w:rPr>
        <w:t>Answer: a</w:t>
      </w:r>
    </w:p>
    <w:p>
      <w:pPr>
        <w:spacing w:after="0" w:before="0"/>
      </w:pPr>
      <w:r>
        <w:rPr>
          <w:b w:val="0"/>
          <w:i w:val="0"/>
          <w:sz w:val="21"/>
        </w:rPr>
        <w:t>Solution: The recommended donning order is gown first, then mask or respirator, eye protection, and gloves last so gloves cover the gown cuffs; removal reverses the order starting with the most contaminated items. This sequence protects the worker and prevents self-contamination.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appropriate nursing action when a newborn's Apgar score is 4 at one minute?</w:t>
      </w:r>
    </w:p>
    <w:p>
      <w:pPr>
        <w:spacing w:after="0" w:before="0"/>
      </w:pPr>
      <w:r>
        <w:rPr>
          <w:b w:val="0"/>
          <w:i w:val="0"/>
          <w:sz w:val="22"/>
        </w:rPr>
        <w:t>(a) Bathe the baby immediately</w:t>
      </w:r>
    </w:p>
    <w:p>
      <w:pPr>
        <w:spacing w:after="0" w:before="0"/>
      </w:pPr>
      <w:r>
        <w:rPr>
          <w:b w:val="0"/>
          <w:i w:val="0"/>
          <w:sz w:val="22"/>
        </w:rPr>
        <w:t>(b) Wait for the five-minute score before acting</w:t>
      </w:r>
    </w:p>
    <w:p>
      <w:pPr>
        <w:spacing w:after="0" w:before="0"/>
      </w:pPr>
      <w:r>
        <w:rPr>
          <w:b w:val="0"/>
          <w:i w:val="0"/>
          <w:sz w:val="22"/>
        </w:rPr>
        <w:t>(c) Feed the baby right away</w:t>
      </w:r>
    </w:p>
    <w:p>
      <w:pPr>
        <w:spacing w:after="0" w:before="0"/>
      </w:pPr>
      <w:r>
        <w:rPr>
          <w:b w:val="0"/>
          <w:i w:val="0"/>
          <w:sz w:val="22"/>
        </w:rPr>
        <w:t>(d) Begin resuscitation: dry, stimulate, position the airway, and provide oxygen or positive-pressure ventilation as needed</w:t>
      </w:r>
    </w:p>
    <w:p>
      <w:pPr>
        <w:spacing w:after="0" w:before="40"/>
      </w:pPr>
      <w:r>
        <w:rPr>
          <w:b/>
          <w:i w:val="0"/>
          <w:sz w:val="22"/>
        </w:rPr>
        <w:t>Answer: d</w:t>
      </w:r>
    </w:p>
    <w:p>
      <w:pPr>
        <w:spacing w:after="0" w:before="0"/>
      </w:pPr>
      <w:r>
        <w:rPr>
          <w:b w:val="0"/>
          <w:i w:val="0"/>
          <w:sz w:val="21"/>
        </w:rPr>
        <w:t>Solution: An Apgar score below 7 indicates the need for resuscitation; at 4 the infant needs airway positioning, drying, stimulation, and oxygen or positive-pressure ventilation per the neonatal resuscitation algorithm, with reassessment. Waiting or routine care can worsen hypoxia.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priority nursing intervention for a client with preeclampsia receiving magnesium sulfate?</w:t>
      </w:r>
    </w:p>
    <w:p>
      <w:pPr>
        <w:spacing w:after="0" w:before="0"/>
      </w:pPr>
      <w:r>
        <w:rPr>
          <w:b w:val="0"/>
          <w:i w:val="0"/>
          <w:sz w:val="22"/>
        </w:rPr>
        <w:t>(a) Withhold all antihypertensives</w:t>
      </w:r>
    </w:p>
    <w:p>
      <w:pPr>
        <w:spacing w:after="0" w:before="0"/>
      </w:pPr>
      <w:r>
        <w:rPr>
          <w:b w:val="0"/>
          <w:i w:val="0"/>
          <w:sz w:val="22"/>
        </w:rPr>
        <w:t>(b) Encourage the client to ambulate frequently</w:t>
      </w:r>
    </w:p>
    <w:p>
      <w:pPr>
        <w:spacing w:after="0" w:before="0"/>
      </w:pPr>
      <w:r>
        <w:rPr>
          <w:b w:val="0"/>
          <w:i w:val="0"/>
          <w:sz w:val="22"/>
        </w:rPr>
        <w:t>(c) Monitor respiratory rate, deep tendon reflexes, urine output, and signs of magnesium toxicity</w:t>
      </w:r>
    </w:p>
    <w:p>
      <w:pPr>
        <w:spacing w:after="0" w:before="0"/>
      </w:pPr>
      <w:r>
        <w:rPr>
          <w:b w:val="0"/>
          <w:i w:val="0"/>
          <w:sz w:val="22"/>
        </w:rPr>
        <w:t>(d) Encourage a high-salt diet</w:t>
      </w:r>
    </w:p>
    <w:p>
      <w:pPr>
        <w:spacing w:after="0" w:before="40"/>
      </w:pPr>
      <w:r>
        <w:rPr>
          <w:b/>
          <w:i w:val="0"/>
          <w:sz w:val="22"/>
        </w:rPr>
        <w:t>Answer: c</w:t>
      </w:r>
    </w:p>
    <w:p>
      <w:pPr>
        <w:spacing w:after="0" w:before="0"/>
      </w:pPr>
      <w:r>
        <w:rPr>
          <w:b w:val="0"/>
          <w:i w:val="0"/>
          <w:sz w:val="21"/>
        </w:rPr>
        <w:t>Solution: Magnesium sulfate prevents eclampsia but can cause toxicity with respiratory depression, loss of deep tendon reflexes, and cardiac arrest; the nurse monitors reflexes, respirations, urine output, and serum magnesium, keeps calcium gluconate as the antidote at the bedside, and restricts activity and bed rest is common.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intervention for a client with major depression who has not eaten for two days?</w:t>
      </w:r>
    </w:p>
    <w:p>
      <w:pPr>
        <w:spacing w:after="0" w:before="0"/>
      </w:pPr>
      <w:r>
        <w:rPr>
          <w:b w:val="0"/>
          <w:i w:val="0"/>
          <w:sz w:val="22"/>
        </w:rPr>
        <w:t>(a) Withhold food until the client asks for it</w:t>
      </w:r>
    </w:p>
    <w:p>
      <w:pPr>
        <w:spacing w:after="0" w:before="0"/>
      </w:pPr>
      <w:r>
        <w:rPr>
          <w:b w:val="0"/>
          <w:i w:val="0"/>
          <w:sz w:val="22"/>
        </w:rPr>
        <w:t>(b) Offer small, nutritious, high-calorie meals and snacks, and monitor intake and weight</w:t>
      </w:r>
    </w:p>
    <w:p>
      <w:pPr>
        <w:spacing w:after="0" w:before="0"/>
      </w:pPr>
      <w:r>
        <w:rPr>
          <w:b w:val="0"/>
          <w:i w:val="0"/>
          <w:sz w:val="22"/>
        </w:rPr>
        <w:t>(c) Encourage the client to eat alone in their room</w:t>
      </w:r>
    </w:p>
    <w:p>
      <w:pPr>
        <w:spacing w:after="0" w:before="0"/>
      </w:pPr>
      <w:r>
        <w:rPr>
          <w:b w:val="0"/>
          <w:i w:val="0"/>
          <w:sz w:val="22"/>
        </w:rPr>
        <w:t>(d) Force the client to eat a large meal</w:t>
      </w:r>
    </w:p>
    <w:p>
      <w:pPr>
        <w:spacing w:after="0" w:before="40"/>
      </w:pPr>
      <w:r>
        <w:rPr>
          <w:b/>
          <w:i w:val="0"/>
          <w:sz w:val="22"/>
        </w:rPr>
        <w:t>Answer: b</w:t>
      </w:r>
    </w:p>
    <w:p>
      <w:pPr>
        <w:spacing w:after="0" w:before="0"/>
      </w:pPr>
      <w:r>
        <w:rPr>
          <w:b w:val="0"/>
          <w:i w:val="0"/>
          <w:sz w:val="21"/>
        </w:rPr>
        <w:t>Solution: Depression commonly reduces appetite and causes weight loss; the nurse offers small frequent appealing meals, provides supervision and encouragement, monitors intake and weight, and involves the dietitian, ensuring the client receives adequate nutrition during treatment.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most therapeutic response when a client with anxiety says, 'I am so worried about the test results that I cannot sleep'?</w:t>
      </w:r>
    </w:p>
    <w:p>
      <w:pPr>
        <w:spacing w:after="0" w:before="0"/>
      </w:pPr>
      <w:r>
        <w:rPr>
          <w:b w:val="0"/>
          <w:i w:val="0"/>
          <w:sz w:val="22"/>
        </w:rPr>
        <w:t>(a) 'Just take a sleeping pill and forget about it'</w:t>
      </w:r>
    </w:p>
    <w:p>
      <w:pPr>
        <w:spacing w:after="0" w:before="0"/>
      </w:pPr>
      <w:r>
        <w:rPr>
          <w:b w:val="0"/>
          <w:i w:val="0"/>
          <w:sz w:val="22"/>
        </w:rPr>
        <w:t>(b) 'Many people feel this way, so it is nothing'</w:t>
      </w:r>
    </w:p>
    <w:p>
      <w:pPr>
        <w:spacing w:after="0" w:before="0"/>
      </w:pPr>
      <w:r>
        <w:rPr>
          <w:b w:val="0"/>
          <w:i w:val="0"/>
          <w:sz w:val="22"/>
        </w:rPr>
        <w:t>(c) 'You should stop worrying; worrying changes nothing'</w:t>
      </w:r>
    </w:p>
    <w:p>
      <w:pPr>
        <w:spacing w:after="0" w:before="0"/>
      </w:pPr>
      <w:r>
        <w:rPr>
          <w:b w:val="0"/>
          <w:i w:val="0"/>
          <w:sz w:val="22"/>
        </w:rPr>
        <w:t>(d) 'Tell me more about what worries you about the results'</w:t>
      </w:r>
    </w:p>
    <w:p>
      <w:pPr>
        <w:spacing w:after="0" w:before="40"/>
      </w:pPr>
      <w:r>
        <w:rPr>
          <w:b/>
          <w:i w:val="0"/>
          <w:sz w:val="22"/>
        </w:rPr>
        <w:t>Answer: d</w:t>
      </w:r>
    </w:p>
    <w:p>
      <w:pPr>
        <w:spacing w:after="0" w:before="0"/>
      </w:pPr>
      <w:r>
        <w:rPr>
          <w:b w:val="0"/>
          <w:i w:val="0"/>
          <w:sz w:val="21"/>
        </w:rPr>
        <w:t>Solution: An open, empathetic lead invites the client to explore the specific fears behind the anxiety, which is therapeutic. Dismissing, minimising, or advising the client to ignore the feeling blocks communication and increases distress.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classic sign of respiratory distress syndrome in a preterm infant?</w:t>
      </w:r>
    </w:p>
    <w:p>
      <w:pPr>
        <w:spacing w:after="0" w:before="0"/>
      </w:pPr>
      <w:r>
        <w:rPr>
          <w:b w:val="0"/>
          <w:i w:val="0"/>
          <w:sz w:val="22"/>
        </w:rPr>
        <w:t>(a) Mild hypotonia at birth that improves</w:t>
      </w:r>
    </w:p>
    <w:p>
      <w:pPr>
        <w:spacing w:after="0" w:before="0"/>
      </w:pPr>
      <w:r>
        <w:rPr>
          <w:b w:val="0"/>
          <w:i w:val="0"/>
          <w:sz w:val="22"/>
        </w:rPr>
        <w:t>(b) Tachypnoea, expiratory grunting, nasal flaring, and intercostal retractions soon after birth</w:t>
      </w:r>
    </w:p>
    <w:p>
      <w:pPr>
        <w:spacing w:after="0" w:before="0"/>
      </w:pPr>
      <w:r>
        <w:rPr>
          <w:b w:val="0"/>
          <w:i w:val="0"/>
          <w:sz w:val="22"/>
        </w:rPr>
        <w:t>(c) A single episode of vomiting</w:t>
      </w:r>
    </w:p>
    <w:p>
      <w:pPr>
        <w:spacing w:after="0" w:before="0"/>
      </w:pPr>
      <w:r>
        <w:rPr>
          <w:b w:val="0"/>
          <w:i w:val="0"/>
          <w:sz w:val="22"/>
        </w:rPr>
        <w:t>(d) Jaundice on day five</w:t>
      </w:r>
    </w:p>
    <w:p>
      <w:pPr>
        <w:spacing w:after="0" w:before="40"/>
      </w:pPr>
      <w:r>
        <w:rPr>
          <w:b/>
          <w:i w:val="0"/>
          <w:sz w:val="22"/>
        </w:rPr>
        <w:t>Answer: b</w:t>
      </w:r>
    </w:p>
    <w:p>
      <w:pPr>
        <w:spacing w:after="0" w:before="0"/>
      </w:pPr>
      <w:r>
        <w:rPr>
          <w:b w:val="0"/>
          <w:i w:val="0"/>
          <w:sz w:val="21"/>
        </w:rPr>
        <w:t>Solution: Respiratory distress syndrome of the preterm infant, from surfactant deficiency, presents within hours of birth with tachypnoea, grunting, flaring, retractions, and cyanosis, with ground-glass opacities on X-ray. Treatment includes surfactant replacement, oxygen, and continuous positive airway pressure.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priority nursing action for a child who has ingested a corrosive substance?</w:t>
      </w:r>
    </w:p>
    <w:p>
      <w:pPr>
        <w:spacing w:after="0" w:before="0"/>
      </w:pPr>
      <w:r>
        <w:rPr>
          <w:b w:val="0"/>
          <w:i w:val="0"/>
          <w:sz w:val="22"/>
        </w:rPr>
        <w:t>(a) Do not induce vomiting; give small sips of water or milk if advised, and seek emergency care</w:t>
      </w:r>
    </w:p>
    <w:p>
      <w:pPr>
        <w:spacing w:after="0" w:before="0"/>
      </w:pPr>
      <w:r>
        <w:rPr>
          <w:b w:val="0"/>
          <w:i w:val="0"/>
          <w:sz w:val="22"/>
        </w:rPr>
        <w:t>(b) Give salt water to empty the stomach</w:t>
      </w:r>
    </w:p>
    <w:p>
      <w:pPr>
        <w:spacing w:after="0" w:before="0"/>
      </w:pPr>
      <w:r>
        <w:rPr>
          <w:b w:val="0"/>
          <w:i w:val="0"/>
          <w:sz w:val="22"/>
        </w:rPr>
        <w:t>(c) Give activated charcoal at home</w:t>
      </w:r>
    </w:p>
    <w:p>
      <w:pPr>
        <w:spacing w:after="0" w:before="0"/>
      </w:pPr>
      <w:r>
        <w:rPr>
          <w:b w:val="0"/>
          <w:i w:val="0"/>
          <w:sz w:val="22"/>
        </w:rPr>
        <w:t>(d) Induce vomiting immediately</w:t>
      </w:r>
    </w:p>
    <w:p>
      <w:pPr>
        <w:spacing w:after="0" w:before="40"/>
      </w:pPr>
      <w:r>
        <w:rPr>
          <w:b/>
          <w:i w:val="0"/>
          <w:sz w:val="22"/>
        </w:rPr>
        <w:t>Answer: a</w:t>
      </w:r>
    </w:p>
    <w:p>
      <w:pPr>
        <w:spacing w:after="0" w:before="0"/>
      </w:pPr>
      <w:r>
        <w:rPr>
          <w:b w:val="0"/>
          <w:i w:val="0"/>
          <w:sz w:val="21"/>
        </w:rPr>
        <w:t>Solution: Corrosives cause burns on contact, so vomiting is never induced because it re-exposes the oesophagus to the chemical; the poison centre is called, small amounts of water or milk may be given if advised, and the child is taken for emergency evaluation. Charcoal is not used for corrosives.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characteristic feature of autism spectrum disorder?</w:t>
      </w:r>
    </w:p>
    <w:p>
      <w:pPr>
        <w:spacing w:after="0" w:before="0"/>
      </w:pPr>
      <w:r>
        <w:rPr>
          <w:b w:val="0"/>
          <w:i w:val="0"/>
          <w:sz w:val="22"/>
        </w:rPr>
        <w:t>(a) Impaired social communication, restricted interests, and repetitive behaviours beginning in early childhood</w:t>
      </w:r>
    </w:p>
    <w:p>
      <w:pPr>
        <w:spacing w:after="0" w:before="0"/>
      </w:pPr>
      <w:r>
        <w:rPr>
          <w:b w:val="0"/>
          <w:i w:val="0"/>
          <w:sz w:val="22"/>
        </w:rPr>
        <w:t>(b) Delusions and hallucinations</w:t>
      </w:r>
    </w:p>
    <w:p>
      <w:pPr>
        <w:spacing w:after="0" w:before="0"/>
      </w:pPr>
      <w:r>
        <w:rPr>
          <w:b w:val="0"/>
          <w:i w:val="0"/>
          <w:sz w:val="22"/>
        </w:rPr>
        <w:t>(c) Excessive fear of a single object only</w:t>
      </w:r>
    </w:p>
    <w:p>
      <w:pPr>
        <w:spacing w:after="0" w:before="0"/>
      </w:pPr>
      <w:r>
        <w:rPr>
          <w:b w:val="0"/>
          <w:i w:val="0"/>
          <w:sz w:val="22"/>
        </w:rPr>
        <w:t>(d) Sudden loss of memory in adulthood</w:t>
      </w:r>
    </w:p>
    <w:p>
      <w:pPr>
        <w:spacing w:after="0" w:before="40"/>
      </w:pPr>
      <w:r>
        <w:rPr>
          <w:b/>
          <w:i w:val="0"/>
          <w:sz w:val="22"/>
        </w:rPr>
        <w:t>Answer: a</w:t>
      </w:r>
    </w:p>
    <w:p>
      <w:pPr>
        <w:spacing w:after="0" w:before="0"/>
      </w:pPr>
      <w:r>
        <w:rPr>
          <w:b w:val="0"/>
          <w:i w:val="0"/>
          <w:sz w:val="21"/>
        </w:rPr>
        <w:t>Solution: Autism spectrum disorder is a neurodevelopmental condition with deficits in social communication and interaction, restricted and repetitive interests or behaviours, and sensory differences that appear in early childhood. Psychosis and specific phobias are distinct disorders.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correct first-line treatment for uncomplicated severe acute malnutrition in a child without complications?</w:t>
      </w:r>
    </w:p>
    <w:p>
      <w:pPr>
        <w:spacing w:after="0" w:before="0"/>
      </w:pPr>
      <w:r>
        <w:rPr>
          <w:b w:val="0"/>
          <w:i w:val="0"/>
          <w:sz w:val="22"/>
        </w:rPr>
        <w:t>(a) Routine antibiotics for all cases without assessment</w:t>
      </w:r>
    </w:p>
    <w:p>
      <w:pPr>
        <w:spacing w:after="0" w:before="0"/>
      </w:pPr>
      <w:r>
        <w:rPr>
          <w:b w:val="0"/>
          <w:i w:val="0"/>
          <w:sz w:val="22"/>
        </w:rPr>
        <w:t>(b) Hospitalisation with IV fluids for every child</w:t>
      </w:r>
    </w:p>
    <w:p>
      <w:pPr>
        <w:spacing w:after="0" w:before="0"/>
      </w:pPr>
      <w:r>
        <w:rPr>
          <w:b w:val="0"/>
          <w:i w:val="0"/>
          <w:sz w:val="22"/>
        </w:rPr>
        <w:t>(c) Therapeutic feeding with ready-to-use therapeutic food under a community programme</w:t>
      </w:r>
    </w:p>
    <w:p>
      <w:pPr>
        <w:spacing w:after="0" w:before="0"/>
      </w:pPr>
      <w:r>
        <w:rPr>
          <w:b w:val="0"/>
          <w:i w:val="0"/>
          <w:sz w:val="22"/>
        </w:rPr>
        <w:t>(d) A high-protein low-energy diet only</w:t>
      </w:r>
    </w:p>
    <w:p>
      <w:pPr>
        <w:spacing w:after="0" w:before="40"/>
      </w:pPr>
      <w:r>
        <w:rPr>
          <w:b/>
          <w:i w:val="0"/>
          <w:sz w:val="22"/>
        </w:rPr>
        <w:t>Answer: c</w:t>
      </w:r>
    </w:p>
    <w:p>
      <w:pPr>
        <w:spacing w:after="0" w:before="0"/>
      </w:pPr>
      <w:r>
        <w:rPr>
          <w:b w:val="0"/>
          <w:i w:val="0"/>
          <w:sz w:val="21"/>
        </w:rPr>
        <w:t>Solution: Children with uncomplicated severe acute malnutrition are managed in the community with ready-to-use therapeutic food, regular monitoring, and treatment of associated conditions, while complicated cases (with anorexia, oedema, or infection) are referred to stabilisation centres. The approach follows WHO guidelines.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a key function of the Accredited Social Health Activist?</w:t>
      </w:r>
    </w:p>
    <w:p>
      <w:pPr>
        <w:spacing w:after="0" w:before="0"/>
      </w:pPr>
      <w:r>
        <w:rPr>
          <w:b w:val="0"/>
          <w:i w:val="0"/>
          <w:sz w:val="22"/>
        </w:rPr>
        <w:t>(a) Acting as a link between the community and health services, promoting health and facilitating care seeking</w:t>
      </w:r>
    </w:p>
    <w:p>
      <w:pPr>
        <w:spacing w:after="0" w:before="0"/>
      </w:pPr>
      <w:r>
        <w:rPr>
          <w:b w:val="0"/>
          <w:i w:val="0"/>
          <w:sz w:val="22"/>
        </w:rPr>
        <w:t>(b) Prescribing and dispensing all medications</w:t>
      </w:r>
    </w:p>
    <w:p>
      <w:pPr>
        <w:spacing w:after="0" w:before="0"/>
      </w:pPr>
      <w:r>
        <w:rPr>
          <w:b w:val="0"/>
          <w:i w:val="0"/>
          <w:sz w:val="22"/>
        </w:rPr>
        <w:t>(c) Performing major surgeries</w:t>
      </w:r>
    </w:p>
    <w:p>
      <w:pPr>
        <w:spacing w:after="0" w:before="0"/>
      </w:pPr>
      <w:r>
        <w:rPr>
          <w:b w:val="0"/>
          <w:i w:val="0"/>
          <w:sz w:val="22"/>
        </w:rPr>
        <w:t>(d) Conducting laboratory tests only</w:t>
      </w:r>
    </w:p>
    <w:p>
      <w:pPr>
        <w:spacing w:after="0" w:before="40"/>
      </w:pPr>
      <w:r>
        <w:rPr>
          <w:b/>
          <w:i w:val="0"/>
          <w:sz w:val="22"/>
        </w:rPr>
        <w:t>Answer: a</w:t>
      </w:r>
    </w:p>
    <w:p>
      <w:pPr>
        <w:spacing w:after="0" w:before="0"/>
      </w:pPr>
      <w:r>
        <w:rPr>
          <w:b w:val="0"/>
          <w:i w:val="0"/>
          <w:sz w:val="21"/>
        </w:rPr>
        <w:t>Solution: The ASHA is a community health volunteer who counsels on maternal and child health, contraception, nutrition, and hygiene, mobilises the community for immunisation and institutional delivery, and accompanies women to facilities, acting as the first point of contact with the health system.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ethical principle is applied when a nurse keeps a client's health information confidential?</w:t>
      </w:r>
    </w:p>
    <w:p>
      <w:pPr>
        <w:spacing w:after="0" w:before="0"/>
      </w:pPr>
      <w:r>
        <w:rPr>
          <w:b w:val="0"/>
          <w:i w:val="0"/>
          <w:sz w:val="22"/>
        </w:rPr>
        <w:t>(a) Beneficence only</w:t>
      </w:r>
    </w:p>
    <w:p>
      <w:pPr>
        <w:spacing w:after="0" w:before="0"/>
      </w:pPr>
      <w:r>
        <w:rPr>
          <w:b w:val="0"/>
          <w:i w:val="0"/>
          <w:sz w:val="22"/>
        </w:rPr>
        <w:t>(b) Justice only</w:t>
      </w:r>
    </w:p>
    <w:p>
      <w:pPr>
        <w:spacing w:after="0" w:before="0"/>
      </w:pPr>
      <w:r>
        <w:rPr>
          <w:b w:val="0"/>
          <w:i w:val="0"/>
          <w:sz w:val="22"/>
        </w:rPr>
        <w:t>(c) Veracity only</w:t>
      </w:r>
    </w:p>
    <w:p>
      <w:pPr>
        <w:spacing w:after="0" w:before="0"/>
      </w:pPr>
      <w:r>
        <w:rPr>
          <w:b w:val="0"/>
          <w:i w:val="0"/>
          <w:sz w:val="22"/>
        </w:rPr>
        <w:t>(d) Confidentiality, a component of the principle of fidelity and respect for autonomy</w:t>
      </w:r>
    </w:p>
    <w:p>
      <w:pPr>
        <w:spacing w:after="0" w:before="40"/>
      </w:pPr>
      <w:r>
        <w:rPr>
          <w:b/>
          <w:i w:val="0"/>
          <w:sz w:val="22"/>
        </w:rPr>
        <w:t>Answer: d</w:t>
      </w:r>
    </w:p>
    <w:p>
      <w:pPr>
        <w:spacing w:after="0" w:before="0"/>
      </w:pPr>
      <w:r>
        <w:rPr>
          <w:b w:val="0"/>
          <w:i w:val="0"/>
          <w:sz w:val="21"/>
        </w:rPr>
        <w:t>Solution: Confidentiality obliges nurses to protect private health information and share it only with those involved in care or as required by law; it flows from fidelity (keeping promises) and respect for the client's autonomy and dignity.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structure carries oxygenated blood from the lungs to the left atrium?</w:t>
      </w:r>
    </w:p>
    <w:p>
      <w:pPr>
        <w:spacing w:after="0" w:before="0"/>
      </w:pPr>
      <w:r>
        <w:rPr>
          <w:b w:val="0"/>
          <w:i w:val="0"/>
          <w:sz w:val="22"/>
        </w:rPr>
        <w:t>(a) Aorta</w:t>
      </w:r>
    </w:p>
    <w:p>
      <w:pPr>
        <w:spacing w:after="0" w:before="0"/>
      </w:pPr>
      <w:r>
        <w:rPr>
          <w:b w:val="0"/>
          <w:i w:val="0"/>
          <w:sz w:val="22"/>
        </w:rPr>
        <w:t>(b) Pulmonary veins</w:t>
      </w:r>
    </w:p>
    <w:p>
      <w:pPr>
        <w:spacing w:after="0" w:before="0"/>
      </w:pPr>
      <w:r>
        <w:rPr>
          <w:b w:val="0"/>
          <w:i w:val="0"/>
          <w:sz w:val="22"/>
        </w:rPr>
        <w:t>(c) Pulmonary arteries</w:t>
      </w:r>
    </w:p>
    <w:p>
      <w:pPr>
        <w:spacing w:after="0" w:before="0"/>
      </w:pPr>
      <w:r>
        <w:rPr>
          <w:b w:val="0"/>
          <w:i w:val="0"/>
          <w:sz w:val="22"/>
        </w:rPr>
        <w:t>(d) Superior vena cava</w:t>
      </w:r>
    </w:p>
    <w:p>
      <w:pPr>
        <w:spacing w:after="0" w:before="40"/>
      </w:pPr>
      <w:r>
        <w:rPr>
          <w:b/>
          <w:i w:val="0"/>
          <w:sz w:val="22"/>
        </w:rPr>
        <w:t>Answer: b</w:t>
      </w:r>
    </w:p>
    <w:p>
      <w:pPr>
        <w:spacing w:after="0" w:before="0"/>
      </w:pPr>
      <w:r>
        <w:rPr>
          <w:b w:val="0"/>
          <w:i w:val="0"/>
          <w:sz w:val="21"/>
        </w:rPr>
        <w:t>Solution: The four pulmonary veins return oxygenated blood from the lungs to the left atrium. The pulmonary arteries carry deoxygenated blood to the lungs, the superior vena cava returns venous blood from the upper body, and the aorta distributes oxygenated blood systemically.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is the purpose of the home visit in community health nursing?</w:t>
      </w:r>
    </w:p>
    <w:p>
      <w:pPr>
        <w:spacing w:after="0" w:before="0"/>
      </w:pPr>
      <w:r>
        <w:rPr>
          <w:b w:val="0"/>
          <w:i w:val="0"/>
          <w:sz w:val="22"/>
        </w:rPr>
        <w:t>(a) To replace outpatient departments entirely</w:t>
      </w:r>
    </w:p>
    <w:p>
      <w:pPr>
        <w:spacing w:after="0" w:before="0"/>
      </w:pPr>
      <w:r>
        <w:rPr>
          <w:b w:val="0"/>
          <w:i w:val="0"/>
          <w:sz w:val="22"/>
        </w:rPr>
        <w:t>(b) To collect fees for every service</w:t>
      </w:r>
    </w:p>
    <w:p>
      <w:pPr>
        <w:spacing w:after="0" w:before="0"/>
      </w:pPr>
      <w:r>
        <w:rPr>
          <w:b w:val="0"/>
          <w:i w:val="0"/>
          <w:sz w:val="22"/>
        </w:rPr>
        <w:t>(c) To provide care, health education, and follow-up in the client's own environment</w:t>
      </w:r>
    </w:p>
    <w:p>
      <w:pPr>
        <w:spacing w:after="0" w:before="0"/>
      </w:pPr>
      <w:r>
        <w:rPr>
          <w:b w:val="0"/>
          <w:i w:val="0"/>
          <w:sz w:val="22"/>
        </w:rPr>
        <w:t>(d) To transfer all care to the hospital</w:t>
      </w:r>
    </w:p>
    <w:p>
      <w:pPr>
        <w:spacing w:after="0" w:before="40"/>
      </w:pPr>
      <w:r>
        <w:rPr>
          <w:b/>
          <w:i w:val="0"/>
          <w:sz w:val="22"/>
        </w:rPr>
        <w:t>Answer: c</w:t>
      </w:r>
    </w:p>
    <w:p>
      <w:pPr>
        <w:spacing w:after="0" w:before="0"/>
      </w:pPr>
      <w:r>
        <w:rPr>
          <w:b w:val="0"/>
          <w:i w:val="0"/>
          <w:sz w:val="21"/>
        </w:rPr>
        <w:t>Solution: Home visiting brings nursing care, health education, treatment support, and follow-up to families in their own environment, strengthening continuity and compliance, especially for maternal and child health, chronic illness, and communicable disease follow-up.</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