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a priority nursing intervention for a client with hyperglycaemic hyperosmolar state?</w:t>
      </w:r>
    </w:p>
    <w:p>
      <w:pPr>
        <w:spacing w:after="0" w:before="0"/>
      </w:pPr>
      <w:r>
        <w:rPr>
          <w:b w:val="0"/>
          <w:i w:val="0"/>
          <w:sz w:val="22"/>
        </w:rPr>
        <w:t>(a) Oral hypoglycaemic tablets only</w:t>
      </w:r>
    </w:p>
    <w:p>
      <w:pPr>
        <w:spacing w:after="0" w:before="0"/>
      </w:pPr>
      <w:r>
        <w:rPr>
          <w:b w:val="0"/>
          <w:i w:val="0"/>
          <w:sz w:val="22"/>
        </w:rPr>
        <w:t>(b) Restricting fluids to avoid overhydration</w:t>
      </w:r>
    </w:p>
    <w:p>
      <w:pPr>
        <w:spacing w:after="0" w:before="0"/>
      </w:pPr>
      <w:r>
        <w:rPr>
          <w:b w:val="0"/>
          <w:i w:val="0"/>
          <w:sz w:val="22"/>
        </w:rPr>
        <w:t>(c) Aggressive fluid replacement, insulin therapy, and close monitoring of glucose, electrolytes, and mental status</w:t>
      </w:r>
    </w:p>
    <w:p>
      <w:pPr>
        <w:spacing w:after="0" w:before="0"/>
      </w:pPr>
      <w:r>
        <w:rPr>
          <w:b w:val="0"/>
          <w:i w:val="0"/>
          <w:sz w:val="22"/>
        </w:rPr>
        <w:t>(d) Immediate discharge once glucose falls</w:t>
      </w:r>
    </w:p>
    <w:p>
      <w:pPr>
        <w:spacing w:after="0" w:before="40"/>
      </w:pPr>
      <w:r>
        <w:rPr>
          <w:b/>
          <w:i w:val="0"/>
          <w:sz w:val="22"/>
        </w:rPr>
        <w:t>Answer: c</w:t>
      </w:r>
    </w:p>
    <w:p>
      <w:pPr>
        <w:spacing w:after="0" w:before="0"/>
      </w:pPr>
      <w:r>
        <w:rPr>
          <w:b w:val="0"/>
          <w:i w:val="0"/>
          <w:sz w:val="21"/>
        </w:rPr>
        <w:t>Solution: Hyperglycaemic hyperosmolar state is marked by severe hyperglycaemia and dehydration without significant ketosis, usually in type 2 diabetes; treatment is careful rehydration, insulin, potassium replacement, and monitoring for complications such as thrombosis and cerebral oedema.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assessment finding is most characteristic of hypoglycaemia?</w:t>
      </w:r>
    </w:p>
    <w:p>
      <w:pPr>
        <w:spacing w:after="0" w:before="0"/>
      </w:pPr>
      <w:r>
        <w:rPr>
          <w:b w:val="0"/>
          <w:i w:val="0"/>
          <w:sz w:val="22"/>
        </w:rPr>
        <w:t>(a) Polyuria and fruity breath</w:t>
      </w:r>
    </w:p>
    <w:p>
      <w:pPr>
        <w:spacing w:after="0" w:before="0"/>
      </w:pPr>
      <w:r>
        <w:rPr>
          <w:b w:val="0"/>
          <w:i w:val="0"/>
          <w:sz w:val="22"/>
        </w:rPr>
        <w:t>(b) Tremor, sweating, palpitations, confusion, and hunger</w:t>
      </w:r>
    </w:p>
    <w:p>
      <w:pPr>
        <w:spacing w:after="0" w:before="0"/>
      </w:pPr>
      <w:r>
        <w:rPr>
          <w:b w:val="0"/>
          <w:i w:val="0"/>
          <w:sz w:val="22"/>
        </w:rPr>
        <w:t>(c) Weight gain and constipation</w:t>
      </w:r>
    </w:p>
    <w:p>
      <w:pPr>
        <w:spacing w:after="0" w:before="0"/>
      </w:pPr>
      <w:r>
        <w:rPr>
          <w:b w:val="0"/>
          <w:i w:val="0"/>
          <w:sz w:val="22"/>
        </w:rPr>
        <w:t>(d) Flushed dry skin with rapid deep breathing</w:t>
      </w:r>
    </w:p>
    <w:p>
      <w:pPr>
        <w:spacing w:after="0" w:before="40"/>
      </w:pPr>
      <w:r>
        <w:rPr>
          <w:b/>
          <w:i w:val="0"/>
          <w:sz w:val="22"/>
        </w:rPr>
        <w:t>Answer: b</w:t>
      </w:r>
    </w:p>
    <w:p>
      <w:pPr>
        <w:spacing w:after="0" w:before="0"/>
      </w:pPr>
      <w:r>
        <w:rPr>
          <w:b w:val="0"/>
          <w:i w:val="0"/>
          <w:sz w:val="21"/>
        </w:rPr>
        <w:t>Solution: Hypoglycaemia causes adrenergic symptoms such as tremor, sweating, palpitations, and hunger, followed by neuroglycopenic symptoms such as confusion, irritability, and seizures as brain glucose falls. The rule is to treat with fast-acting carbohydrate and recheck.</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who develops sudden severe pain, swelling, and coolness of one leg after hip replacement surgery?</w:t>
      </w:r>
    </w:p>
    <w:p>
      <w:pPr>
        <w:spacing w:after="0" w:before="0"/>
      </w:pPr>
      <w:r>
        <w:rPr>
          <w:b w:val="0"/>
          <w:i w:val="0"/>
          <w:sz w:val="22"/>
        </w:rPr>
        <w:t>(a) Apply heat and continue physiotherapy</w:t>
      </w:r>
    </w:p>
    <w:p>
      <w:pPr>
        <w:spacing w:after="0" w:before="0"/>
      </w:pPr>
      <w:r>
        <w:rPr>
          <w:b w:val="0"/>
          <w:i w:val="0"/>
          <w:sz w:val="22"/>
        </w:rPr>
        <w:t>(b) Notify the physician immediately because a deep vein thrombosis or arterial occlusion is possible</w:t>
      </w:r>
    </w:p>
    <w:p>
      <w:pPr>
        <w:spacing w:after="0" w:before="0"/>
      </w:pPr>
      <w:r>
        <w:rPr>
          <w:b w:val="0"/>
          <w:i w:val="0"/>
          <w:sz w:val="22"/>
        </w:rPr>
        <w:t>(c) Massage the leg to improve circulation</w:t>
      </w:r>
    </w:p>
    <w:p>
      <w:pPr>
        <w:spacing w:after="0" w:before="0"/>
      </w:pPr>
      <w:r>
        <w:rPr>
          <w:b w:val="0"/>
          <w:i w:val="0"/>
          <w:sz w:val="22"/>
        </w:rPr>
        <w:t>(d) Elevate and encourage walking</w:t>
      </w:r>
    </w:p>
    <w:p>
      <w:pPr>
        <w:spacing w:after="0" w:before="40"/>
      </w:pPr>
      <w:r>
        <w:rPr>
          <w:b/>
          <w:i w:val="0"/>
          <w:sz w:val="22"/>
        </w:rPr>
        <w:t>Answer: b</w:t>
      </w:r>
    </w:p>
    <w:p>
      <w:pPr>
        <w:spacing w:after="0" w:before="0"/>
      </w:pPr>
      <w:r>
        <w:rPr>
          <w:b w:val="0"/>
          <w:i w:val="0"/>
          <w:sz w:val="21"/>
        </w:rPr>
        <w:t>Solution: A painful, swollen, cool leg after major orthopaedic surgery suggests deep vein thrombosis or arterial occlusion; the physician is notified at once, and the leg is not massaged because massage can dislodge a thrombus. Anticoagulation and imaging follow.</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appropriate instruction for a client with gastro-oesophageal reflux disease?</w:t>
      </w:r>
    </w:p>
    <w:p>
      <w:pPr>
        <w:spacing w:after="0" w:before="0"/>
      </w:pPr>
      <w:r>
        <w:rPr>
          <w:b w:val="0"/>
          <w:i w:val="0"/>
          <w:sz w:val="22"/>
        </w:rPr>
        <w:t>(a) Avoid eating within two to three hours of bedtime and elevate the head of the bed</w:t>
      </w:r>
    </w:p>
    <w:p>
      <w:pPr>
        <w:spacing w:after="0" w:before="0"/>
      </w:pPr>
      <w:r>
        <w:rPr>
          <w:b w:val="0"/>
          <w:i w:val="0"/>
          <w:sz w:val="22"/>
        </w:rPr>
        <w:t>(b) Lie flat immediately after meals</w:t>
      </w:r>
    </w:p>
    <w:p>
      <w:pPr>
        <w:spacing w:after="0" w:before="0"/>
      </w:pPr>
      <w:r>
        <w:rPr>
          <w:b w:val="0"/>
          <w:i w:val="0"/>
          <w:sz w:val="22"/>
        </w:rPr>
        <w:t>(c) Drink large amounts of citrus juice with meals</w:t>
      </w:r>
    </w:p>
    <w:p>
      <w:pPr>
        <w:spacing w:after="0" w:before="0"/>
      </w:pPr>
      <w:r>
        <w:rPr>
          <w:b w:val="0"/>
          <w:i w:val="0"/>
          <w:sz w:val="22"/>
        </w:rPr>
        <w:t>(d) Eat large heavy meals at night</w:t>
      </w:r>
    </w:p>
    <w:p>
      <w:pPr>
        <w:spacing w:after="0" w:before="40"/>
      </w:pPr>
      <w:r>
        <w:rPr>
          <w:b/>
          <w:i w:val="0"/>
          <w:sz w:val="22"/>
        </w:rPr>
        <w:t>Answer: a</w:t>
      </w:r>
    </w:p>
    <w:p>
      <w:pPr>
        <w:spacing w:after="0" w:before="0"/>
      </w:pPr>
      <w:r>
        <w:rPr>
          <w:b w:val="0"/>
          <w:i w:val="0"/>
          <w:sz w:val="21"/>
        </w:rPr>
        <w:t>Solution: GORD is helped by small frequent meals, avoiding food shortly before bed, elevating the head of the bed, and avoiding triggers such as fatty food, caffeine, alcohol, and smoking; medication such as proton pump inhibitors reduces acid.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way to count a client's respiratory rate?</w:t>
      </w:r>
    </w:p>
    <w:p>
      <w:pPr>
        <w:spacing w:after="0" w:before="0"/>
      </w:pPr>
      <w:r>
        <w:rPr>
          <w:b w:val="0"/>
          <w:i w:val="0"/>
          <w:sz w:val="22"/>
        </w:rPr>
        <w:t>(a) Count respirations while the client is talking</w:t>
      </w:r>
    </w:p>
    <w:p>
      <w:pPr>
        <w:spacing w:after="0" w:before="0"/>
      </w:pPr>
      <w:r>
        <w:rPr>
          <w:b w:val="0"/>
          <w:i w:val="0"/>
          <w:sz w:val="22"/>
        </w:rPr>
        <w:t>(b) Count breaths for a full minute without the client knowing, noting the rise and fall of the chest</w:t>
      </w:r>
    </w:p>
    <w:p>
      <w:pPr>
        <w:spacing w:after="0" w:before="0"/>
      </w:pPr>
      <w:r>
        <w:rPr>
          <w:b w:val="0"/>
          <w:i w:val="0"/>
          <w:sz w:val="22"/>
        </w:rPr>
        <w:t>(c) Count after telling the client to breathe deeply</w:t>
      </w:r>
    </w:p>
    <w:p>
      <w:pPr>
        <w:spacing w:after="0" w:before="0"/>
      </w:pPr>
      <w:r>
        <w:rPr>
          <w:b w:val="0"/>
          <w:i w:val="0"/>
          <w:sz w:val="22"/>
        </w:rPr>
        <w:t>(d) Ask the client to breathe normally and count for 15 seconds</w:t>
      </w:r>
    </w:p>
    <w:p>
      <w:pPr>
        <w:spacing w:after="0" w:before="40"/>
      </w:pPr>
      <w:r>
        <w:rPr>
          <w:b/>
          <w:i w:val="0"/>
          <w:sz w:val="22"/>
        </w:rPr>
        <w:t>Answer: b</w:t>
      </w:r>
    </w:p>
    <w:p>
      <w:pPr>
        <w:spacing w:after="0" w:before="0"/>
      </w:pPr>
      <w:r>
        <w:rPr>
          <w:b w:val="0"/>
          <w:i w:val="0"/>
          <w:sz w:val="21"/>
        </w:rPr>
        <w:t>Solution: Respirations are counted unobtrusively for a full minute, observing the rise and fall of the chest, because clients alter their breathing when they know it is being measured. Short counts magnify errors, and deep or voluntary breathing invalidates the measurement.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nursing action is most effective in preventing falls in hospitalised older adults?</w:t>
      </w:r>
    </w:p>
    <w:p>
      <w:pPr>
        <w:spacing w:after="0" w:before="0"/>
      </w:pPr>
      <w:r>
        <w:rPr>
          <w:b w:val="0"/>
          <w:i w:val="0"/>
          <w:sz w:val="22"/>
        </w:rPr>
        <w:t>(a) Encouraging unassisted ambulation at night</w:t>
      </w:r>
    </w:p>
    <w:p>
      <w:pPr>
        <w:spacing w:after="0" w:before="0"/>
      </w:pPr>
      <w:r>
        <w:rPr>
          <w:b w:val="0"/>
          <w:i w:val="0"/>
          <w:sz w:val="22"/>
        </w:rPr>
        <w:t>(b) Keeping the bed rails down and the room dark</w:t>
      </w:r>
    </w:p>
    <w:p>
      <w:pPr>
        <w:spacing w:after="0" w:before="0"/>
      </w:pPr>
      <w:r>
        <w:rPr>
          <w:b w:val="0"/>
          <w:i w:val="0"/>
          <w:sz w:val="22"/>
        </w:rPr>
        <w:t>(c) Regular toileting rounds, keeping the call bell within reach, and using bed alarms</w:t>
      </w:r>
    </w:p>
    <w:p>
      <w:pPr>
        <w:spacing w:after="0" w:before="0"/>
      </w:pPr>
      <w:r>
        <w:rPr>
          <w:b w:val="0"/>
          <w:i w:val="0"/>
          <w:sz w:val="22"/>
        </w:rPr>
        <w:t>(d) Restricting all fluids after dinner</w:t>
      </w:r>
    </w:p>
    <w:p>
      <w:pPr>
        <w:spacing w:after="0" w:before="40"/>
      </w:pPr>
      <w:r>
        <w:rPr>
          <w:b/>
          <w:i w:val="0"/>
          <w:sz w:val="22"/>
        </w:rPr>
        <w:t>Answer: c</w:t>
      </w:r>
    </w:p>
    <w:p>
      <w:pPr>
        <w:spacing w:after="0" w:before="0"/>
      </w:pPr>
      <w:r>
        <w:rPr>
          <w:b w:val="0"/>
          <w:i w:val="0"/>
          <w:sz w:val="21"/>
        </w:rPr>
        <w:t>Solution: Fall prevention bundles address the commonest risks: scheduled toileting reduces urgency-related falls, a call bell within reach encourages help-seeking, and bed alarms alert staff when an at-risk client moves; night lighting, rails as appropriate, and supervision during transfers also reduce falls.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multiparous client in active labour with a history of rapid delivery?</w:t>
      </w:r>
    </w:p>
    <w:p>
      <w:pPr>
        <w:spacing w:after="0" w:before="0"/>
      </w:pPr>
      <w:r>
        <w:rPr>
          <w:b w:val="0"/>
          <w:i w:val="0"/>
          <w:sz w:val="22"/>
        </w:rPr>
        <w:t>(a) Prepare the delivery area and stay with the client because delivery may be imminent</w:t>
      </w:r>
    </w:p>
    <w:p>
      <w:pPr>
        <w:spacing w:after="0" w:before="0"/>
      </w:pPr>
      <w:r>
        <w:rPr>
          <w:b w:val="0"/>
          <w:i w:val="0"/>
          <w:sz w:val="22"/>
        </w:rPr>
        <w:t>(b) Delay assessment until the physician arrives</w:t>
      </w:r>
    </w:p>
    <w:p>
      <w:pPr>
        <w:spacing w:after="0" w:before="0"/>
      </w:pPr>
      <w:r>
        <w:rPr>
          <w:b w:val="0"/>
          <w:i w:val="0"/>
          <w:sz w:val="22"/>
        </w:rPr>
        <w:t>(c) Encourage the client to walk to the cafeteria</w:t>
      </w:r>
    </w:p>
    <w:p>
      <w:pPr>
        <w:spacing w:after="0" w:before="0"/>
      </w:pPr>
      <w:r>
        <w:rPr>
          <w:b w:val="0"/>
          <w:i w:val="0"/>
          <w:sz w:val="22"/>
        </w:rPr>
        <w:t>(d) Send the client to the waiting room</w:t>
      </w:r>
    </w:p>
    <w:p>
      <w:pPr>
        <w:spacing w:after="0" w:before="40"/>
      </w:pPr>
      <w:r>
        <w:rPr>
          <w:b/>
          <w:i w:val="0"/>
          <w:sz w:val="22"/>
        </w:rPr>
        <w:t>Answer: a</w:t>
      </w:r>
    </w:p>
    <w:p>
      <w:pPr>
        <w:spacing w:after="0" w:before="0"/>
      </w:pPr>
      <w:r>
        <w:rPr>
          <w:b w:val="0"/>
          <w:i w:val="0"/>
          <w:sz w:val="21"/>
        </w:rPr>
        <w:t>Solution: Multiparous clients often progress rapidly, so the nurse assesses cervical status promptly, prepares for delivery, and keeps the client close to the delivery area to avoid an unattended birth. Warning signs include the urge to push and bulging of the perineum.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nursing response when a client in the postpartum period reports painful, hard breasts with cracked nipples?</w:t>
      </w:r>
    </w:p>
    <w:p>
      <w:pPr>
        <w:spacing w:after="0" w:before="0"/>
      </w:pPr>
      <w:r>
        <w:rPr>
          <w:b w:val="0"/>
          <w:i w:val="0"/>
          <w:sz w:val="22"/>
        </w:rPr>
        <w:t>(a) Suggest feeding only with bottles from now on</w:t>
      </w:r>
    </w:p>
    <w:p>
      <w:pPr>
        <w:spacing w:after="0" w:before="0"/>
      </w:pPr>
      <w:r>
        <w:rPr>
          <w:b w:val="0"/>
          <w:i w:val="0"/>
          <w:sz w:val="22"/>
        </w:rPr>
        <w:t>(b) Apply alcohol to the nipples</w:t>
      </w:r>
    </w:p>
    <w:p>
      <w:pPr>
        <w:spacing w:after="0" w:before="0"/>
      </w:pPr>
      <w:r>
        <w:rPr>
          <w:b w:val="0"/>
          <w:i w:val="0"/>
          <w:sz w:val="22"/>
        </w:rPr>
        <w:t>(c) Assess latch and positioning, treat the cracked nipple, and advise continued feeding with proper technique</w:t>
      </w:r>
    </w:p>
    <w:p>
      <w:pPr>
        <w:spacing w:after="0" w:before="0"/>
      </w:pPr>
      <w:r>
        <w:rPr>
          <w:b w:val="0"/>
          <w:i w:val="0"/>
          <w:sz w:val="22"/>
        </w:rPr>
        <w:t>(d) Advise stopping breastfeeding permanently</w:t>
      </w:r>
    </w:p>
    <w:p>
      <w:pPr>
        <w:spacing w:after="0" w:before="40"/>
      </w:pPr>
      <w:r>
        <w:rPr>
          <w:b/>
          <w:i w:val="0"/>
          <w:sz w:val="22"/>
        </w:rPr>
        <w:t>Answer: c</w:t>
      </w:r>
    </w:p>
    <w:p>
      <w:pPr>
        <w:spacing w:after="0" w:before="0"/>
      </w:pPr>
      <w:r>
        <w:rPr>
          <w:b w:val="0"/>
          <w:i w:val="0"/>
          <w:sz w:val="21"/>
        </w:rPr>
        <w:t>Solution: Sore cracked nipples are usually due to poor latch; the nurse teaches proper positioning and attachment, treats the nipples with expressed milk or a prescribed ointment, and continues frequent feeding, which prevents engorgement and mastitis. Stopping feeding worsens the problem.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danger sign in the postpartum period that requires immediate reporting?</w:t>
      </w:r>
    </w:p>
    <w:p>
      <w:pPr>
        <w:spacing w:after="0" w:before="0"/>
      </w:pPr>
      <w:r>
        <w:rPr>
          <w:b w:val="0"/>
          <w:i w:val="0"/>
          <w:sz w:val="22"/>
        </w:rPr>
        <w:t>(a) Light lochia rubra on day two</w:t>
      </w:r>
    </w:p>
    <w:p>
      <w:pPr>
        <w:spacing w:after="0" w:before="0"/>
      </w:pPr>
      <w:r>
        <w:rPr>
          <w:b w:val="0"/>
          <w:i w:val="0"/>
          <w:sz w:val="22"/>
        </w:rPr>
        <w:t>(b) Heavy bleeding saturating more than one pad per hour, fever, or severe abdominal pain</w:t>
      </w:r>
    </w:p>
    <w:p>
      <w:pPr>
        <w:spacing w:after="0" w:before="0"/>
      </w:pPr>
      <w:r>
        <w:rPr>
          <w:b w:val="0"/>
          <w:i w:val="0"/>
          <w:sz w:val="22"/>
        </w:rPr>
        <w:t>(c) Mild perineal discomfort</w:t>
      </w:r>
    </w:p>
    <w:p>
      <w:pPr>
        <w:spacing w:after="0" w:before="0"/>
      </w:pPr>
      <w:r>
        <w:rPr>
          <w:b w:val="0"/>
          <w:i w:val="0"/>
          <w:sz w:val="22"/>
        </w:rPr>
        <w:t>(d) Afterpains during breastfeeding</w:t>
      </w:r>
    </w:p>
    <w:p>
      <w:pPr>
        <w:spacing w:after="0" w:before="40"/>
      </w:pPr>
      <w:r>
        <w:rPr>
          <w:b/>
          <w:i w:val="0"/>
          <w:sz w:val="22"/>
        </w:rPr>
        <w:t>Answer: b</w:t>
      </w:r>
    </w:p>
    <w:p>
      <w:pPr>
        <w:spacing w:after="0" w:before="0"/>
      </w:pPr>
      <w:r>
        <w:rPr>
          <w:b w:val="0"/>
          <w:i w:val="0"/>
          <w:sz w:val="21"/>
        </w:rPr>
        <w:t>Solution: Postpartum danger signs include excessive bleeding, fever, foul lochia, severe headache or epigastric pain, calf pain, and breast redness with fever, which may indicate haemorrhage, infection, preeclampsia, or thrombosis and need urgent care. Afterpains and light lochia are expected.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delirium in the intensive care unit?</w:t>
      </w:r>
    </w:p>
    <w:p>
      <w:pPr>
        <w:spacing w:after="0" w:before="0"/>
      </w:pPr>
      <w:r>
        <w:rPr>
          <w:b w:val="0"/>
          <w:i w:val="0"/>
          <w:sz w:val="22"/>
        </w:rPr>
        <w:t>(a) Sedate the client heavily to ensure sleep</w:t>
      </w:r>
    </w:p>
    <w:p>
      <w:pPr>
        <w:spacing w:after="0" w:before="0"/>
      </w:pPr>
      <w:r>
        <w:rPr>
          <w:b w:val="0"/>
          <w:i w:val="0"/>
          <w:sz w:val="22"/>
        </w:rPr>
        <w:t>(b) Withhold all family visits</w:t>
      </w:r>
    </w:p>
    <w:p>
      <w:pPr>
        <w:spacing w:after="0" w:before="0"/>
      </w:pPr>
      <w:r>
        <w:rPr>
          <w:b w:val="0"/>
          <w:i w:val="0"/>
          <w:sz w:val="22"/>
        </w:rPr>
        <w:t>(c) Keep the room dark and quiet all day</w:t>
      </w:r>
    </w:p>
    <w:p>
      <w:pPr>
        <w:spacing w:after="0" w:before="0"/>
      </w:pPr>
      <w:r>
        <w:rPr>
          <w:b w:val="0"/>
          <w:i w:val="0"/>
          <w:sz w:val="22"/>
        </w:rPr>
        <w:t>(d) Frequent reorientation, family involvement, early mobilisation, and correction of sensory deficits</w:t>
      </w:r>
    </w:p>
    <w:p>
      <w:pPr>
        <w:spacing w:after="0" w:before="40"/>
      </w:pPr>
      <w:r>
        <w:rPr>
          <w:b/>
          <w:i w:val="0"/>
          <w:sz w:val="22"/>
        </w:rPr>
        <w:t>Answer: d</w:t>
      </w:r>
    </w:p>
    <w:p>
      <w:pPr>
        <w:spacing w:after="0" w:before="0"/>
      </w:pPr>
      <w:r>
        <w:rPr>
          <w:b w:val="0"/>
          <w:i w:val="0"/>
          <w:sz w:val="21"/>
        </w:rPr>
        <w:t>Solution: Delirium prevention and management use non-pharmacological measures: frequent orientation, clocks and calendars, hearing and visual aids, early mobility, sleep promotion, pain control, and family presence. Heavy sedation and sensory deprivation worsen delirium.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schizoid personality disorder?</w:t>
      </w:r>
    </w:p>
    <w:p>
      <w:pPr>
        <w:spacing w:after="0" w:before="0"/>
      </w:pPr>
      <w:r>
        <w:rPr>
          <w:b w:val="0"/>
          <w:i w:val="0"/>
          <w:sz w:val="22"/>
        </w:rPr>
        <w:t>(a) Detachment from social relationships and restricted emotional expression</w:t>
      </w:r>
    </w:p>
    <w:p>
      <w:pPr>
        <w:spacing w:after="0" w:before="0"/>
      </w:pPr>
      <w:r>
        <w:rPr>
          <w:b w:val="0"/>
          <w:i w:val="0"/>
          <w:sz w:val="22"/>
        </w:rPr>
        <w:t>(b) Suspiciousness and mistrust of others</w:t>
      </w:r>
    </w:p>
    <w:p>
      <w:pPr>
        <w:spacing w:after="0" w:before="0"/>
      </w:pPr>
      <w:r>
        <w:rPr>
          <w:b w:val="0"/>
          <w:i w:val="0"/>
          <w:sz w:val="22"/>
        </w:rPr>
        <w:t>(c) Excessive need to be cared for</w:t>
      </w:r>
    </w:p>
    <w:p>
      <w:pPr>
        <w:spacing w:after="0" w:before="0"/>
      </w:pPr>
      <w:r>
        <w:rPr>
          <w:b w:val="0"/>
          <w:i w:val="0"/>
          <w:sz w:val="22"/>
        </w:rPr>
        <w:t>(d) Dramatic attention-seeking behaviour</w:t>
      </w:r>
    </w:p>
    <w:p>
      <w:pPr>
        <w:spacing w:after="0" w:before="40"/>
      </w:pPr>
      <w:r>
        <w:rPr>
          <w:b/>
          <w:i w:val="0"/>
          <w:sz w:val="22"/>
        </w:rPr>
        <w:t>Answer: a</w:t>
      </w:r>
    </w:p>
    <w:p>
      <w:pPr>
        <w:spacing w:after="0" w:before="0"/>
      </w:pPr>
      <w:r>
        <w:rPr>
          <w:b w:val="0"/>
          <w:i w:val="0"/>
          <w:sz w:val="21"/>
        </w:rPr>
        <w:t>Solution: Schizoid personality disorder is characterised by a lifelong pattern of detachment from social relationships and a restricted range of emotional expression, with preference for solitary activities. Histrionic disorder seeks attention, dependent disorder needs care, and paranoid disorder is marked by mistrust.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when a client receiving electroconvulsive therapy begins to wake up?</w:t>
      </w:r>
    </w:p>
    <w:p>
      <w:pPr>
        <w:spacing w:after="0" w:before="0"/>
      </w:pPr>
      <w:r>
        <w:rPr>
          <w:b w:val="0"/>
          <w:i w:val="0"/>
          <w:sz w:val="22"/>
        </w:rPr>
        <w:t>(a) Immediately discharge the client</w:t>
      </w:r>
    </w:p>
    <w:p>
      <w:pPr>
        <w:spacing w:after="0" w:before="0"/>
      </w:pPr>
      <w:r>
        <w:rPr>
          <w:b w:val="0"/>
          <w:i w:val="0"/>
          <w:sz w:val="22"/>
        </w:rPr>
        <w:t>(b) Allow the client to leave unaccompanied</w:t>
      </w:r>
    </w:p>
    <w:p>
      <w:pPr>
        <w:spacing w:after="0" w:before="0"/>
      </w:pPr>
      <w:r>
        <w:rPr>
          <w:b w:val="0"/>
          <w:i w:val="0"/>
          <w:sz w:val="22"/>
        </w:rPr>
        <w:t>(c) Discuss the treatment details until the client remembers everything</w:t>
      </w:r>
    </w:p>
    <w:p>
      <w:pPr>
        <w:spacing w:after="0" w:before="0"/>
      </w:pPr>
      <w:r>
        <w:rPr>
          <w:b w:val="0"/>
          <w:i w:val="0"/>
          <w:sz w:val="22"/>
        </w:rPr>
        <w:t>(d) Reorient the client, monitor vital signs and airway, and provide reassurance about the temporary confusion</w:t>
      </w:r>
    </w:p>
    <w:p>
      <w:pPr>
        <w:spacing w:after="0" w:before="40"/>
      </w:pPr>
      <w:r>
        <w:rPr>
          <w:b/>
          <w:i w:val="0"/>
          <w:sz w:val="22"/>
        </w:rPr>
        <w:t>Answer: d</w:t>
      </w:r>
    </w:p>
    <w:p>
      <w:pPr>
        <w:spacing w:after="0" w:before="0"/>
      </w:pPr>
      <w:r>
        <w:rPr>
          <w:b w:val="0"/>
          <w:i w:val="0"/>
          <w:sz w:val="21"/>
        </w:rPr>
        <w:t>Solution: After ECT the client is observed until awake, oriented, and stable; the nurse reorients, reassures about postictal confusion and headache, and ensures the client does not drive or make important decisions that day. Discharge occurs only after recovery and with a responsible adult.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child with suspected bacterial meningitis?</w:t>
      </w:r>
    </w:p>
    <w:p>
      <w:pPr>
        <w:spacing w:after="0" w:before="0"/>
      </w:pPr>
      <w:r>
        <w:rPr>
          <w:b w:val="0"/>
          <w:i w:val="0"/>
          <w:sz w:val="22"/>
        </w:rPr>
        <w:t>(a) Wait for culture results before treating</w:t>
      </w:r>
    </w:p>
    <w:p>
      <w:pPr>
        <w:spacing w:after="0" w:before="0"/>
      </w:pPr>
      <w:r>
        <w:rPr>
          <w:b w:val="0"/>
          <w:i w:val="0"/>
          <w:sz w:val="22"/>
        </w:rPr>
        <w:t>(b) Encourage the child to walk to the bathroom</w:t>
      </w:r>
    </w:p>
    <w:p>
      <w:pPr>
        <w:spacing w:after="0" w:before="0"/>
      </w:pPr>
      <w:r>
        <w:rPr>
          <w:b w:val="0"/>
          <w:i w:val="0"/>
          <w:sz w:val="22"/>
        </w:rPr>
        <w:t>(c) Start antibiotics promptly after cultures, monitor for raised intracranial pressure, and institute droplet precautions</w:t>
      </w:r>
    </w:p>
    <w:p>
      <w:pPr>
        <w:spacing w:after="0" w:before="0"/>
      </w:pPr>
      <w:r>
        <w:rPr>
          <w:b w:val="0"/>
          <w:i w:val="0"/>
          <w:sz w:val="22"/>
        </w:rPr>
        <w:t>(d) Withhold analgesia to avoid masking signs</w:t>
      </w:r>
    </w:p>
    <w:p>
      <w:pPr>
        <w:spacing w:after="0" w:before="40"/>
      </w:pPr>
      <w:r>
        <w:rPr>
          <w:b/>
          <w:i w:val="0"/>
          <w:sz w:val="22"/>
        </w:rPr>
        <w:t>Answer: c</w:t>
      </w:r>
    </w:p>
    <w:p>
      <w:pPr>
        <w:spacing w:after="0" w:before="0"/>
      </w:pPr>
      <w:r>
        <w:rPr>
          <w:b w:val="0"/>
          <w:i w:val="0"/>
          <w:sz w:val="21"/>
        </w:rPr>
        <w:t>Solution: Bacterial meningitis is a medical emergency: blood and CSF cultures are taken and empirical antibiotics and steroids started promptly, with droplet precautions, neurological monitoring, and management of raised intracranial pressure and seizures. Delay in antibiotics increases mortality.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early sign of developmental dysplasia of the hip in an infant?</w:t>
      </w:r>
    </w:p>
    <w:p>
      <w:pPr>
        <w:spacing w:after="0" w:before="0"/>
      </w:pPr>
      <w:r>
        <w:rPr>
          <w:b w:val="0"/>
          <w:i w:val="0"/>
          <w:sz w:val="22"/>
        </w:rPr>
        <w:t>(a) Excessive hip abduction bilaterally</w:t>
      </w:r>
    </w:p>
    <w:p>
      <w:pPr>
        <w:spacing w:after="0" w:before="0"/>
      </w:pPr>
      <w:r>
        <w:rPr>
          <w:b w:val="0"/>
          <w:i w:val="0"/>
          <w:sz w:val="22"/>
        </w:rPr>
        <w:t>(b) Painless limp in both legs</w:t>
      </w:r>
    </w:p>
    <w:p>
      <w:pPr>
        <w:spacing w:after="0" w:before="0"/>
      </w:pPr>
      <w:r>
        <w:rPr>
          <w:b w:val="0"/>
          <w:i w:val="0"/>
          <w:sz w:val="22"/>
        </w:rPr>
        <w:t>(c) Normal symmetrical folds with full abduction</w:t>
      </w:r>
    </w:p>
    <w:p>
      <w:pPr>
        <w:spacing w:after="0" w:before="0"/>
      </w:pPr>
      <w:r>
        <w:rPr>
          <w:b w:val="0"/>
          <w:i w:val="0"/>
          <w:sz w:val="22"/>
        </w:rPr>
        <w:t>(d) Asymmetric thigh or gluteal folds and limited abduction of the affected hip</w:t>
      </w:r>
    </w:p>
    <w:p>
      <w:pPr>
        <w:spacing w:after="0" w:before="40"/>
      </w:pPr>
      <w:r>
        <w:rPr>
          <w:b/>
          <w:i w:val="0"/>
          <w:sz w:val="22"/>
        </w:rPr>
        <w:t>Answer: d</w:t>
      </w:r>
    </w:p>
    <w:p>
      <w:pPr>
        <w:spacing w:after="0" w:before="0"/>
      </w:pPr>
      <w:r>
        <w:rPr>
          <w:b w:val="0"/>
          <w:i w:val="0"/>
          <w:sz w:val="21"/>
        </w:rPr>
        <w:t>Solution: Developmental dysplasia of the hip is detected by asymmetrical thigh and gluteal folds, limited hip abduction, and positive Ortolani or Barlow manoeuvres in early infancy; ultrasound confirms the diagnosis, and early Pavlik harness treatment is very effective.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strategy to prevent mother-to-child transmission of HIV?</w:t>
      </w:r>
    </w:p>
    <w:p>
      <w:pPr>
        <w:spacing w:after="0" w:before="0"/>
      </w:pPr>
      <w:r>
        <w:rPr>
          <w:b w:val="0"/>
          <w:i w:val="0"/>
          <w:sz w:val="22"/>
        </w:rPr>
        <w:t>(a) Antiretroviral therapy for the mother during pregnancy and labour, prophylaxis for the infant, and safe feeding advice</w:t>
      </w:r>
    </w:p>
    <w:p>
      <w:pPr>
        <w:spacing w:after="0" w:before="0"/>
      </w:pPr>
      <w:r>
        <w:rPr>
          <w:b w:val="0"/>
          <w:i w:val="0"/>
          <w:sz w:val="22"/>
        </w:rPr>
        <w:t>(b) Exclusive formula feeding for all infants without counselling</w:t>
      </w:r>
    </w:p>
    <w:p>
      <w:pPr>
        <w:spacing w:after="0" w:before="0"/>
      </w:pPr>
      <w:r>
        <w:rPr>
          <w:b w:val="0"/>
          <w:i w:val="0"/>
          <w:sz w:val="22"/>
        </w:rPr>
        <w:t>(c) Stopping all antenatal care</w:t>
      </w:r>
    </w:p>
    <w:p>
      <w:pPr>
        <w:spacing w:after="0" w:before="0"/>
      </w:pPr>
      <w:r>
        <w:rPr>
          <w:b w:val="0"/>
          <w:i w:val="0"/>
          <w:sz w:val="22"/>
        </w:rPr>
        <w:t>(d) Giving the infant a single dose of vitamins</w:t>
      </w:r>
    </w:p>
    <w:p>
      <w:pPr>
        <w:spacing w:after="0" w:before="40"/>
      </w:pPr>
      <w:r>
        <w:rPr>
          <w:b/>
          <w:i w:val="0"/>
          <w:sz w:val="22"/>
        </w:rPr>
        <w:t>Answer: a</w:t>
      </w:r>
    </w:p>
    <w:p>
      <w:pPr>
        <w:spacing w:after="0" w:before="0"/>
      </w:pPr>
      <w:r>
        <w:rPr>
          <w:b w:val="0"/>
          <w:i w:val="0"/>
          <w:sz w:val="21"/>
        </w:rPr>
        <w:t>Solution: Prevention of mother-to-child transmission uses lifelong antiretroviral therapy for the mother, intrapartum and infant prophylaxis, safe delivery practices, and counselling on infant feeding; with effective treatment the transmission risk falls below 2%.</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core indicator of maternal health used to monitor progress towards reducing maternal mortality?</w:t>
      </w:r>
    </w:p>
    <w:p>
      <w:pPr>
        <w:spacing w:after="0" w:before="0"/>
      </w:pPr>
      <w:r>
        <w:rPr>
          <w:b w:val="0"/>
          <w:i w:val="0"/>
          <w:sz w:val="22"/>
        </w:rPr>
        <w:t>(a) Infant mortality rate only</w:t>
      </w:r>
    </w:p>
    <w:p>
      <w:pPr>
        <w:spacing w:after="0" w:before="0"/>
      </w:pPr>
      <w:r>
        <w:rPr>
          <w:b w:val="0"/>
          <w:i w:val="0"/>
          <w:sz w:val="22"/>
        </w:rPr>
        <w:t>(b) Total fertility rate</w:t>
      </w:r>
    </w:p>
    <w:p>
      <w:pPr>
        <w:spacing w:after="0" w:before="0"/>
      </w:pPr>
      <w:r>
        <w:rPr>
          <w:b w:val="0"/>
          <w:i w:val="0"/>
          <w:sz w:val="22"/>
        </w:rPr>
        <w:t>(c) Doctor to population ratio</w:t>
      </w:r>
    </w:p>
    <w:p>
      <w:pPr>
        <w:spacing w:after="0" w:before="0"/>
      </w:pPr>
      <w:r>
        <w:rPr>
          <w:b w:val="0"/>
          <w:i w:val="0"/>
          <w:sz w:val="22"/>
        </w:rPr>
        <w:t>(d) Maternal mortality ratio</w:t>
      </w:r>
    </w:p>
    <w:p>
      <w:pPr>
        <w:spacing w:after="0" w:before="40"/>
      </w:pPr>
      <w:r>
        <w:rPr>
          <w:b/>
          <w:i w:val="0"/>
          <w:sz w:val="22"/>
        </w:rPr>
        <w:t>Answer: d</w:t>
      </w:r>
    </w:p>
    <w:p>
      <w:pPr>
        <w:spacing w:after="0" w:before="0"/>
      </w:pPr>
      <w:r>
        <w:rPr>
          <w:b w:val="0"/>
          <w:i w:val="0"/>
          <w:sz w:val="21"/>
        </w:rPr>
        <w:t>Solution: The maternal mortality ratio, the number of maternal deaths per 100,000 live births, is the key indicator of maternal health and is tracked under the Sustainable Development Goals with a target below 70 by 2030. It reflects the quality of antenatal, intrapartum, and postpartum care.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laboratory value is most consistent with diabetic ketoacidosis?</w:t>
      </w:r>
    </w:p>
    <w:p>
      <w:pPr>
        <w:spacing w:after="0" w:before="0"/>
      </w:pPr>
      <w:r>
        <w:rPr>
          <w:b w:val="0"/>
          <w:i w:val="0"/>
          <w:sz w:val="22"/>
        </w:rPr>
        <w:t>(a) High blood glucose, low bicarbonate, low pH, and positive serum ketones</w:t>
      </w:r>
    </w:p>
    <w:p>
      <w:pPr>
        <w:spacing w:after="0" w:before="0"/>
      </w:pPr>
      <w:r>
        <w:rPr>
          <w:b w:val="0"/>
          <w:i w:val="0"/>
          <w:sz w:val="22"/>
        </w:rPr>
        <w:t>(b) Normal glucose with high pH</w:t>
      </w:r>
    </w:p>
    <w:p>
      <w:pPr>
        <w:spacing w:after="0" w:before="0"/>
      </w:pPr>
      <w:r>
        <w:rPr>
          <w:b w:val="0"/>
          <w:i w:val="0"/>
          <w:sz w:val="22"/>
        </w:rPr>
        <w:t>(c) Low glucose with high bicarbonate</w:t>
      </w:r>
    </w:p>
    <w:p>
      <w:pPr>
        <w:spacing w:after="0" w:before="0"/>
      </w:pPr>
      <w:r>
        <w:rPr>
          <w:b w:val="0"/>
          <w:i w:val="0"/>
          <w:sz w:val="22"/>
        </w:rPr>
        <w:t>(d) Normal anion gap with alkalosis</w:t>
      </w:r>
    </w:p>
    <w:p>
      <w:pPr>
        <w:spacing w:after="0" w:before="40"/>
      </w:pPr>
      <w:r>
        <w:rPr>
          <w:b/>
          <w:i w:val="0"/>
          <w:sz w:val="22"/>
        </w:rPr>
        <w:t>Answer: a</w:t>
      </w:r>
    </w:p>
    <w:p>
      <w:pPr>
        <w:spacing w:after="0" w:before="0"/>
      </w:pPr>
      <w:r>
        <w:rPr>
          <w:b w:val="0"/>
          <w:i w:val="0"/>
          <w:sz w:val="21"/>
        </w:rPr>
        <w:t>Solution: DKA shows hyperglycaemia, metabolic acidosis with a low pH and bicarbonate, and ketonaemia or ketonuria with an elevated anion gap. The other patterns describe normoglycaemia, hypoglycaemia, or alkalosis, not DKA.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According to Erik Erikson's theory, which psychosocial crisis occurs during adolescence?</w:t>
      </w:r>
    </w:p>
    <w:p>
      <w:pPr>
        <w:spacing w:after="0" w:before="0"/>
      </w:pPr>
      <w:r>
        <w:rPr>
          <w:b w:val="0"/>
          <w:i w:val="0"/>
          <w:sz w:val="22"/>
        </w:rPr>
        <w:t>(a) Generativity versus stagnation</w:t>
      </w:r>
    </w:p>
    <w:p>
      <w:pPr>
        <w:spacing w:after="0" w:before="0"/>
      </w:pPr>
      <w:r>
        <w:rPr>
          <w:b w:val="0"/>
          <w:i w:val="0"/>
          <w:sz w:val="22"/>
        </w:rPr>
        <w:t>(b) Identity versus role confusion</w:t>
      </w:r>
    </w:p>
    <w:p>
      <w:pPr>
        <w:spacing w:after="0" w:before="0"/>
      </w:pPr>
      <w:r>
        <w:rPr>
          <w:b w:val="0"/>
          <w:i w:val="0"/>
          <w:sz w:val="22"/>
        </w:rPr>
        <w:t>(c) Trust versus mistrust</w:t>
      </w:r>
    </w:p>
    <w:p>
      <w:pPr>
        <w:spacing w:after="0" w:before="0"/>
      </w:pPr>
      <w:r>
        <w:rPr>
          <w:b w:val="0"/>
          <w:i w:val="0"/>
          <w:sz w:val="22"/>
        </w:rPr>
        <w:t>(d) Integrity versus despair</w:t>
      </w:r>
    </w:p>
    <w:p>
      <w:pPr>
        <w:spacing w:after="0" w:before="40"/>
      </w:pPr>
      <w:r>
        <w:rPr>
          <w:b/>
          <w:i w:val="0"/>
          <w:sz w:val="22"/>
        </w:rPr>
        <w:t>Answer: b</w:t>
      </w:r>
    </w:p>
    <w:p>
      <w:pPr>
        <w:spacing w:after="0" w:before="0"/>
      </w:pPr>
      <w:r>
        <w:rPr>
          <w:b w:val="0"/>
          <w:i w:val="0"/>
          <w:sz w:val="21"/>
        </w:rPr>
        <w:t>Solution: Erikson's adolescent stage is identity versus role confusion, in which the young person explores roles and values to form a coherent sense of identity. Trust versus mistrust is infancy, generativity versus stagnation middle adulthood, and integrity versus despair late adulthood.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organism is the most common cause of bacterial pneumonia in community settings?</w:t>
      </w:r>
    </w:p>
    <w:p>
      <w:pPr>
        <w:spacing w:after="0" w:before="0"/>
      </w:pPr>
      <w:r>
        <w:rPr>
          <w:b w:val="0"/>
          <w:i w:val="0"/>
          <w:sz w:val="22"/>
        </w:rPr>
        <w:t>(a) Mycobacterium tuberculosis</w:t>
      </w:r>
    </w:p>
    <w:p>
      <w:pPr>
        <w:spacing w:after="0" w:before="0"/>
      </w:pPr>
      <w:r>
        <w:rPr>
          <w:b w:val="0"/>
          <w:i w:val="0"/>
          <w:sz w:val="22"/>
        </w:rPr>
        <w:t>(b) Clostridium difficile</w:t>
      </w:r>
    </w:p>
    <w:p>
      <w:pPr>
        <w:spacing w:after="0" w:before="0"/>
      </w:pPr>
      <w:r>
        <w:rPr>
          <w:b w:val="0"/>
          <w:i w:val="0"/>
          <w:sz w:val="22"/>
        </w:rPr>
        <w:t>(c) Streptococcus pneumoniae</w:t>
      </w:r>
    </w:p>
    <w:p>
      <w:pPr>
        <w:spacing w:after="0" w:before="0"/>
      </w:pPr>
      <w:r>
        <w:rPr>
          <w:b w:val="0"/>
          <w:i w:val="0"/>
          <w:sz w:val="22"/>
        </w:rPr>
        <w:t>(d) Neisseria meningitidis</w:t>
      </w:r>
    </w:p>
    <w:p>
      <w:pPr>
        <w:spacing w:after="0" w:before="40"/>
      </w:pPr>
      <w:r>
        <w:rPr>
          <w:b/>
          <w:i w:val="0"/>
          <w:sz w:val="22"/>
        </w:rPr>
        <w:t>Answer: c</w:t>
      </w:r>
    </w:p>
    <w:p>
      <w:pPr>
        <w:spacing w:after="0" w:before="0"/>
      </w:pPr>
      <w:r>
        <w:rPr>
          <w:b w:val="0"/>
          <w:i w:val="0"/>
          <w:sz w:val="21"/>
        </w:rPr>
        <w:t>Solution: Streptococcus pneumoniae (pneumococcus) is the leading cause of community-acquired pneumonia, causing lobar pneumonia with productive cough, fever, and pleuritic pain; vaccines and antibiotics reduce its burden. TB, C. difficile, and meningococcus cause other illnesses.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serious adverse effect of aminoglycoside antibiotics such as gentamicin?</w:t>
      </w:r>
    </w:p>
    <w:p>
      <w:pPr>
        <w:spacing w:after="0" w:before="0"/>
      </w:pPr>
      <w:r>
        <w:rPr>
          <w:b w:val="0"/>
          <w:i w:val="0"/>
          <w:sz w:val="22"/>
        </w:rPr>
        <w:t>(a) Hyperglycaemia</w:t>
      </w:r>
    </w:p>
    <w:p>
      <w:pPr>
        <w:spacing w:after="0" w:before="0"/>
      </w:pPr>
      <w:r>
        <w:rPr>
          <w:b w:val="0"/>
          <w:i w:val="0"/>
          <w:sz w:val="22"/>
        </w:rPr>
        <w:t>(b) Bradycardia</w:t>
      </w:r>
    </w:p>
    <w:p>
      <w:pPr>
        <w:spacing w:after="0" w:before="0"/>
      </w:pPr>
      <w:r>
        <w:rPr>
          <w:b w:val="0"/>
          <w:i w:val="0"/>
          <w:sz w:val="22"/>
        </w:rPr>
        <w:t>(c) Skin pigmentation</w:t>
      </w:r>
    </w:p>
    <w:p>
      <w:pPr>
        <w:spacing w:after="0" w:before="0"/>
      </w:pPr>
      <w:r>
        <w:rPr>
          <w:b w:val="0"/>
          <w:i w:val="0"/>
          <w:sz w:val="22"/>
        </w:rPr>
        <w:t>(d) Nephrotoxicity and ototoxicity</w:t>
      </w:r>
    </w:p>
    <w:p>
      <w:pPr>
        <w:spacing w:after="0" w:before="40"/>
      </w:pPr>
      <w:r>
        <w:rPr>
          <w:b/>
          <w:i w:val="0"/>
          <w:sz w:val="22"/>
        </w:rPr>
        <w:t>Answer: d</w:t>
      </w:r>
    </w:p>
    <w:p>
      <w:pPr>
        <w:spacing w:after="0" w:before="0"/>
      </w:pPr>
      <w:r>
        <w:rPr>
          <w:b w:val="0"/>
          <w:i w:val="0"/>
          <w:sz w:val="21"/>
        </w:rPr>
        <w:t>Solution: Aminoglycosides can damage the kidneys and the eighth cranial nerve, causing acute kidney injury and hearing loss or vestibular dysfunction, so serum levels, renal function, and hearing are monitored, especially with prolonged or high-dose therapy.</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