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most common cause of acute gastroenteritis in infants and young children?</w:t>
      </w:r>
    </w:p>
    <w:p>
      <w:pPr>
        <w:spacing w:after="0" w:before="0"/>
      </w:pPr>
      <w:r>
        <w:rPr>
          <w:b w:val="0"/>
          <w:i w:val="0"/>
          <w:sz w:val="22"/>
        </w:rPr>
        <w:t>(a) Rotavirus</w:t>
      </w:r>
    </w:p>
    <w:p>
      <w:pPr>
        <w:spacing w:after="0" w:before="0"/>
      </w:pPr>
      <w:r>
        <w:rPr>
          <w:b w:val="0"/>
          <w:i w:val="0"/>
          <w:sz w:val="22"/>
        </w:rPr>
        <w:t>(b) Entamoeba histolytica</w:t>
      </w:r>
    </w:p>
    <w:p>
      <w:pPr>
        <w:spacing w:after="0" w:before="0"/>
      </w:pPr>
      <w:r>
        <w:rPr>
          <w:b w:val="0"/>
          <w:i w:val="0"/>
          <w:sz w:val="22"/>
        </w:rPr>
        <w:t>(c) Clostridium botulinum</w:t>
      </w:r>
    </w:p>
    <w:p>
      <w:pPr>
        <w:spacing w:after="0" w:before="0"/>
      </w:pPr>
      <w:r>
        <w:rPr>
          <w:b w:val="0"/>
          <w:i w:val="0"/>
          <w:sz w:val="22"/>
        </w:rPr>
        <w:t>(d) Salmonella typhi</w:t>
      </w:r>
    </w:p>
    <w:p>
      <w:pPr>
        <w:spacing w:after="0" w:before="40"/>
      </w:pPr>
      <w:r>
        <w:rPr>
          <w:b/>
          <w:i w:val="0"/>
          <w:sz w:val="22"/>
        </w:rPr>
        <w:t>Answer: a</w:t>
      </w:r>
    </w:p>
    <w:p>
      <w:pPr>
        <w:spacing w:after="0" w:before="0"/>
      </w:pPr>
      <w:r>
        <w:rPr>
          <w:b w:val="0"/>
          <w:i w:val="0"/>
          <w:sz w:val="21"/>
        </w:rPr>
        <w:t>Solution: Rotavirus is the leading cause of acute watery diarrhoea in children under five worldwide; oral rotavirus vaccine at 6, 10, and 14 weeks has greatly reduced severe disease. Salmonella typhi causes typhoid fever, amoebiasis causes dysentery, and botulism is food poisoning.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admitted with severe dehydration?</w:t>
      </w:r>
    </w:p>
    <w:p>
      <w:pPr>
        <w:spacing w:after="0" w:before="0"/>
      </w:pPr>
      <w:r>
        <w:rPr>
          <w:b w:val="0"/>
          <w:i w:val="0"/>
          <w:sz w:val="22"/>
        </w:rPr>
        <w:t>(a) Offer oral rehydration solution in large single doses</w:t>
      </w:r>
    </w:p>
    <w:p>
      <w:pPr>
        <w:spacing w:after="0" w:before="0"/>
      </w:pPr>
      <w:r>
        <w:rPr>
          <w:b w:val="0"/>
          <w:i w:val="0"/>
          <w:sz w:val="22"/>
        </w:rPr>
        <w:t>(b) Encourage the child to drink milk only</w:t>
      </w:r>
    </w:p>
    <w:p>
      <w:pPr>
        <w:spacing w:after="0" w:before="0"/>
      </w:pPr>
      <w:r>
        <w:rPr>
          <w:b w:val="0"/>
          <w:i w:val="0"/>
          <w:sz w:val="22"/>
        </w:rPr>
        <w:t>(c) Restore fluid volume with intravenous fluids, monitoring intake, output, and vital signs</w:t>
      </w:r>
    </w:p>
    <w:p>
      <w:pPr>
        <w:spacing w:after="0" w:before="0"/>
      </w:pPr>
      <w:r>
        <w:rPr>
          <w:b w:val="0"/>
          <w:i w:val="0"/>
          <w:sz w:val="22"/>
        </w:rPr>
        <w:t>(d) Withhold fluids until the child is hungry</w:t>
      </w:r>
    </w:p>
    <w:p>
      <w:pPr>
        <w:spacing w:after="0" w:before="40"/>
      </w:pPr>
      <w:r>
        <w:rPr>
          <w:b/>
          <w:i w:val="0"/>
          <w:sz w:val="22"/>
        </w:rPr>
        <w:t>Answer: c</w:t>
      </w:r>
    </w:p>
    <w:p>
      <w:pPr>
        <w:spacing w:after="0" w:before="0"/>
      </w:pPr>
      <w:r>
        <w:rPr>
          <w:b w:val="0"/>
          <w:i w:val="0"/>
          <w:sz w:val="21"/>
        </w:rPr>
        <w:t>Solution: Severe dehydration is a medical emergency treated with rapid intravenous fluid replacement (usually Ringer lactate), then ongoing maintenance and deficit replacement with frequent reassessment. ORS is for mild to moderate dehydration, and milk alone cannot correct electrolyte loss.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measles (rubeola)?</w:t>
      </w:r>
    </w:p>
    <w:p>
      <w:pPr>
        <w:spacing w:after="0" w:before="0"/>
      </w:pPr>
      <w:r>
        <w:rPr>
          <w:b w:val="0"/>
          <w:i w:val="0"/>
          <w:sz w:val="22"/>
        </w:rPr>
        <w:t>(a) Vesicular rash in a dermatomal distribution</w:t>
      </w:r>
    </w:p>
    <w:p>
      <w:pPr>
        <w:spacing w:after="0" w:before="0"/>
      </w:pPr>
      <w:r>
        <w:rPr>
          <w:b w:val="0"/>
          <w:i w:val="0"/>
          <w:sz w:val="22"/>
        </w:rPr>
        <w:t>(b) Painless genital ulcers</w:t>
      </w:r>
    </w:p>
    <w:p>
      <w:pPr>
        <w:spacing w:after="0" w:before="0"/>
      </w:pPr>
      <w:r>
        <w:rPr>
          <w:b w:val="0"/>
          <w:i w:val="0"/>
          <w:sz w:val="22"/>
        </w:rPr>
        <w:t>(c) Severe watery diarrhoea without fever</w:t>
      </w:r>
    </w:p>
    <w:p>
      <w:pPr>
        <w:spacing w:after="0" w:before="0"/>
      </w:pPr>
      <w:r>
        <w:rPr>
          <w:b w:val="0"/>
          <w:i w:val="0"/>
          <w:sz w:val="22"/>
        </w:rPr>
        <w:t>(d) Fever, cough, coryza, conjunctivitis, and a maculopapular rash spreading from the face downward</w:t>
      </w:r>
    </w:p>
    <w:p>
      <w:pPr>
        <w:spacing w:after="0" w:before="40"/>
      </w:pPr>
      <w:r>
        <w:rPr>
          <w:b/>
          <w:i w:val="0"/>
          <w:sz w:val="22"/>
        </w:rPr>
        <w:t>Answer: d</w:t>
      </w:r>
    </w:p>
    <w:p>
      <w:pPr>
        <w:spacing w:after="0" w:before="0"/>
      </w:pPr>
      <w:r>
        <w:rPr>
          <w:b w:val="0"/>
          <w:i w:val="0"/>
          <w:sz w:val="21"/>
        </w:rPr>
        <w:t>Solution: Measles presents with high fever, the three Cs (cough, coryza, conjunctivitis), and Koplik spots, followed by a maculopapular rash that begins on the face and spreads downward. It is prevented by the measles-rubella vaccine and can cause pneumonia and encephalitis.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position for an infant after feeding to reduce the risk of aspiration?</w:t>
      </w:r>
    </w:p>
    <w:p>
      <w:pPr>
        <w:spacing w:after="0" w:before="0"/>
      </w:pPr>
      <w:r>
        <w:rPr>
          <w:b w:val="0"/>
          <w:i w:val="0"/>
          <w:sz w:val="22"/>
        </w:rPr>
        <w:t>(a) Place the infant in a car seat with the chin down</w:t>
      </w:r>
    </w:p>
    <w:p>
      <w:pPr>
        <w:spacing w:after="0" w:before="0"/>
      </w:pPr>
      <w:r>
        <w:rPr>
          <w:b w:val="0"/>
          <w:i w:val="0"/>
          <w:sz w:val="22"/>
        </w:rPr>
        <w:t>(b) Hold the infant upright for 20-30 minutes, then place on the back</w:t>
      </w:r>
    </w:p>
    <w:p>
      <w:pPr>
        <w:spacing w:after="0" w:before="0"/>
      </w:pPr>
      <w:r>
        <w:rPr>
          <w:b w:val="0"/>
          <w:i w:val="0"/>
          <w:sz w:val="22"/>
        </w:rPr>
        <w:t>(c) Place the infant prone immediately</w:t>
      </w:r>
    </w:p>
    <w:p>
      <w:pPr>
        <w:spacing w:after="0" w:before="0"/>
      </w:pPr>
      <w:r>
        <w:rPr>
          <w:b w:val="0"/>
          <w:i w:val="0"/>
          <w:sz w:val="22"/>
        </w:rPr>
        <w:t>(d) Lay the infant flat on the side with the head unsupported</w:t>
      </w:r>
    </w:p>
    <w:p>
      <w:pPr>
        <w:spacing w:after="0" w:before="40"/>
      </w:pPr>
      <w:r>
        <w:rPr>
          <w:b/>
          <w:i w:val="0"/>
          <w:sz w:val="22"/>
        </w:rPr>
        <w:t>Answer: b</w:t>
      </w:r>
    </w:p>
    <w:p>
      <w:pPr>
        <w:spacing w:after="0" w:before="0"/>
      </w:pPr>
      <w:r>
        <w:rPr>
          <w:b w:val="0"/>
          <w:i w:val="0"/>
          <w:sz w:val="21"/>
        </w:rPr>
        <w:t>Solution: Keeping the infant upright after feeding for 20-30 minutes allows swallowed air to be burped and reduces reflux and aspiration risk; safe sleep guidelines place infants supine. Prone or unsupported positions increase the risk of aspiration and sudden infant death.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assessment finding is most concerning in a child with fever?</w:t>
      </w:r>
    </w:p>
    <w:p>
      <w:pPr>
        <w:spacing w:after="0" w:before="0"/>
      </w:pPr>
      <w:r>
        <w:rPr>
          <w:b w:val="0"/>
          <w:i w:val="0"/>
          <w:sz w:val="22"/>
        </w:rPr>
        <w:t>(a) A temperature of 38.5 degree Celsius with good oral intake</w:t>
      </w:r>
    </w:p>
    <w:p>
      <w:pPr>
        <w:spacing w:after="0" w:before="0"/>
      </w:pPr>
      <w:r>
        <w:rPr>
          <w:b w:val="0"/>
          <w:i w:val="0"/>
          <w:sz w:val="22"/>
        </w:rPr>
        <w:t>(b) Mild coryza and cough</w:t>
      </w:r>
    </w:p>
    <w:p>
      <w:pPr>
        <w:spacing w:after="0" w:before="0"/>
      </w:pPr>
      <w:r>
        <w:rPr>
          <w:b w:val="0"/>
          <w:i w:val="0"/>
          <w:sz w:val="22"/>
        </w:rPr>
        <w:t>(c) A rose-coloured rash that fades on pressure</w:t>
      </w:r>
    </w:p>
    <w:p>
      <w:pPr>
        <w:spacing w:after="0" w:before="0"/>
      </w:pPr>
      <w:r>
        <w:rPr>
          <w:b w:val="0"/>
          <w:i w:val="0"/>
          <w:sz w:val="22"/>
        </w:rPr>
        <w:t>(d) Lethargy, poor perfusion, petechial rash, and stiff neck</w:t>
      </w:r>
    </w:p>
    <w:p>
      <w:pPr>
        <w:spacing w:after="0" w:before="40"/>
      </w:pPr>
      <w:r>
        <w:rPr>
          <w:b/>
          <w:i w:val="0"/>
          <w:sz w:val="22"/>
        </w:rPr>
        <w:t>Answer: d</w:t>
      </w:r>
    </w:p>
    <w:p>
      <w:pPr>
        <w:spacing w:after="0" w:before="0"/>
      </w:pPr>
      <w:r>
        <w:rPr>
          <w:b w:val="0"/>
          <w:i w:val="0"/>
          <w:sz w:val="21"/>
        </w:rPr>
        <w:t>Solution: Lethargy, poor perfusion, a non-blanching petechial rash, and neck stiffness suggest serious bacterial infection such as meningococcal disease or meningitis and require immediate emergency care. Simple fever with good intake and viral symptoms is far less concerning.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daily vitamin A supplementation schedule under the national child health programme?</w:t>
      </w:r>
    </w:p>
    <w:p>
      <w:pPr>
        <w:spacing w:after="0" w:before="0"/>
      </w:pPr>
      <w:r>
        <w:rPr>
          <w:b w:val="0"/>
          <w:i w:val="0"/>
          <w:sz w:val="22"/>
        </w:rPr>
        <w:t>(a) A first dose at 9 months with measles vaccine, then a dose every six months up to 5 years</w:t>
      </w:r>
    </w:p>
    <w:p>
      <w:pPr>
        <w:spacing w:after="0" w:before="0"/>
      </w:pPr>
      <w:r>
        <w:rPr>
          <w:b w:val="0"/>
          <w:i w:val="0"/>
          <w:sz w:val="22"/>
        </w:rPr>
        <w:t>(b) Daily doses for the first year only</w:t>
      </w:r>
    </w:p>
    <w:p>
      <w:pPr>
        <w:spacing w:after="0" w:before="0"/>
      </w:pPr>
      <w:r>
        <w:rPr>
          <w:b w:val="0"/>
          <w:i w:val="0"/>
          <w:sz w:val="22"/>
        </w:rPr>
        <w:t>(c) A dose every month until age 10</w:t>
      </w:r>
    </w:p>
    <w:p>
      <w:pPr>
        <w:spacing w:after="0" w:before="0"/>
      </w:pPr>
      <w:r>
        <w:rPr>
          <w:b w:val="0"/>
          <w:i w:val="0"/>
          <w:sz w:val="22"/>
        </w:rPr>
        <w:t>(d) A single dose at birth</w:t>
      </w:r>
    </w:p>
    <w:p>
      <w:pPr>
        <w:spacing w:after="0" w:before="40"/>
      </w:pPr>
      <w:r>
        <w:rPr>
          <w:b/>
          <w:i w:val="0"/>
          <w:sz w:val="22"/>
        </w:rPr>
        <w:t>Answer: a</w:t>
      </w:r>
    </w:p>
    <w:p>
      <w:pPr>
        <w:spacing w:after="0" w:before="0"/>
      </w:pPr>
      <w:r>
        <w:rPr>
          <w:b w:val="0"/>
          <w:i w:val="0"/>
          <w:sz w:val="21"/>
        </w:rPr>
        <w:t>Solution: The national programme gives vitamin A with measles vaccine at 9 months and then a large dose every six months until age 5 to prevent xerophthalmia and reduce childhood blindness and mortality. Timing and dosage follow the standard schedule.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feature of acute otitis media in a toddler?</w:t>
      </w:r>
    </w:p>
    <w:p>
      <w:pPr>
        <w:spacing w:after="0" w:before="0"/>
      </w:pPr>
      <w:r>
        <w:rPr>
          <w:b w:val="0"/>
          <w:i w:val="0"/>
          <w:sz w:val="22"/>
        </w:rPr>
        <w:t>(a) A pearly white patch on the buccal mucosa</w:t>
      </w:r>
    </w:p>
    <w:p>
      <w:pPr>
        <w:spacing w:after="0" w:before="0"/>
      </w:pPr>
      <w:r>
        <w:rPr>
          <w:b w:val="0"/>
          <w:i w:val="0"/>
          <w:sz w:val="22"/>
        </w:rPr>
        <w:t>(b) Clear discharge from the nose only</w:t>
      </w:r>
    </w:p>
    <w:p>
      <w:pPr>
        <w:spacing w:after="0" w:before="0"/>
      </w:pPr>
      <w:r>
        <w:rPr>
          <w:b w:val="0"/>
          <w:i w:val="0"/>
          <w:sz w:val="22"/>
        </w:rPr>
        <w:t>(c) Ear pain, fever, irritability, and a bulging red tympanic membrane</w:t>
      </w:r>
    </w:p>
    <w:p>
      <w:pPr>
        <w:spacing w:after="0" w:before="0"/>
      </w:pPr>
      <w:r>
        <w:rPr>
          <w:b w:val="0"/>
          <w:i w:val="0"/>
          <w:sz w:val="22"/>
        </w:rPr>
        <w:t>(d) Ringing in the ears without pain</w:t>
      </w:r>
    </w:p>
    <w:p>
      <w:pPr>
        <w:spacing w:after="0" w:before="40"/>
      </w:pPr>
      <w:r>
        <w:rPr>
          <w:b/>
          <w:i w:val="0"/>
          <w:sz w:val="22"/>
        </w:rPr>
        <w:t>Answer: c</w:t>
      </w:r>
    </w:p>
    <w:p>
      <w:pPr>
        <w:spacing w:after="0" w:before="0"/>
      </w:pPr>
      <w:r>
        <w:rPr>
          <w:b w:val="0"/>
          <w:i w:val="0"/>
          <w:sz w:val="21"/>
        </w:rPr>
        <w:t>Solution: Acute otitis media causes earache, fever, and irritability with a bulging, hyperaemic, immobile tympanic membrane on otoscopy; it usually follows an upper respiratory infection. Analgesia and often antibiotics are given, and complications such as perforation are monitored.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intervention for a newborn with an Apgar score of 2 at one minute?</w:t>
      </w:r>
    </w:p>
    <w:p>
      <w:pPr>
        <w:spacing w:after="0" w:before="0"/>
      </w:pPr>
      <w:r>
        <w:rPr>
          <w:b w:val="0"/>
          <w:i w:val="0"/>
          <w:sz w:val="22"/>
        </w:rPr>
        <w:t>(a) Wait for the five-minute Apgar before acting</w:t>
      </w:r>
    </w:p>
    <w:p>
      <w:pPr>
        <w:spacing w:after="0" w:before="0"/>
      </w:pPr>
      <w:r>
        <w:rPr>
          <w:b w:val="0"/>
          <w:i w:val="0"/>
          <w:sz w:val="22"/>
        </w:rPr>
        <w:t>(b) Bathe the infant right away</w:t>
      </w:r>
    </w:p>
    <w:p>
      <w:pPr>
        <w:spacing w:after="0" w:before="0"/>
      </w:pPr>
      <w:r>
        <w:rPr>
          <w:b w:val="0"/>
          <w:i w:val="0"/>
          <w:sz w:val="22"/>
        </w:rPr>
        <w:t>(c) Feed the infant to stimulate breathing</w:t>
      </w:r>
    </w:p>
    <w:p>
      <w:pPr>
        <w:spacing w:after="0" w:before="0"/>
      </w:pPr>
      <w:r>
        <w:rPr>
          <w:b w:val="0"/>
          <w:i w:val="0"/>
          <w:sz w:val="22"/>
        </w:rPr>
        <w:t>(d) Begin positive-pressure ventilation and further resuscitation steps immediately</w:t>
      </w:r>
    </w:p>
    <w:p>
      <w:pPr>
        <w:spacing w:after="0" w:before="40"/>
      </w:pPr>
      <w:r>
        <w:rPr>
          <w:b/>
          <w:i w:val="0"/>
          <w:sz w:val="22"/>
        </w:rPr>
        <w:t>Answer: d</w:t>
      </w:r>
    </w:p>
    <w:p>
      <w:pPr>
        <w:spacing w:after="0" w:before="0"/>
      </w:pPr>
      <w:r>
        <w:rPr>
          <w:b w:val="0"/>
          <w:i w:val="0"/>
          <w:sz w:val="21"/>
        </w:rPr>
        <w:t>Solution: A one-minute Apgar of 2 indicates severe depression requiring immediate resuscitation: airway positioning, stimulation, and positive-pressure ventilation, with chest compressions and adrenaline if needed. The Apgar is used to guide intervention, not to wait for the next score.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coronary syndrome?</w:t>
      </w:r>
    </w:p>
    <w:p>
      <w:pPr>
        <w:spacing w:after="0" w:before="0"/>
      </w:pPr>
      <w:r>
        <w:rPr>
          <w:b w:val="0"/>
          <w:i w:val="0"/>
          <w:sz w:val="22"/>
        </w:rPr>
        <w:t>(a) Obtain a 12-lead ECG, give aspirin and antianginals as ordered, and monitor for arrhythmias</w:t>
      </w:r>
    </w:p>
    <w:p>
      <w:pPr>
        <w:spacing w:after="0" w:before="0"/>
      </w:pPr>
      <w:r>
        <w:rPr>
          <w:b w:val="0"/>
          <w:i w:val="0"/>
          <w:sz w:val="22"/>
        </w:rPr>
        <w:t>(b) Encourage the client to sleep on the right side only</w:t>
      </w:r>
    </w:p>
    <w:p>
      <w:pPr>
        <w:spacing w:after="0" w:before="0"/>
      </w:pPr>
      <w:r>
        <w:rPr>
          <w:b w:val="0"/>
          <w:i w:val="0"/>
          <w:sz w:val="22"/>
        </w:rPr>
        <w:t>(c) Withhold oxygen even if saturation is low</w:t>
      </w:r>
    </w:p>
    <w:p>
      <w:pPr>
        <w:spacing w:after="0" w:before="0"/>
      </w:pPr>
      <w:r>
        <w:rPr>
          <w:b w:val="0"/>
          <w:i w:val="0"/>
          <w:sz w:val="22"/>
        </w:rPr>
        <w:t>(d) Give a warm bath to relieve pain</w:t>
      </w:r>
    </w:p>
    <w:p>
      <w:pPr>
        <w:spacing w:after="0" w:before="40"/>
      </w:pPr>
      <w:r>
        <w:rPr>
          <w:b/>
          <w:i w:val="0"/>
          <w:sz w:val="22"/>
        </w:rPr>
        <w:t>Answer: a</w:t>
      </w:r>
    </w:p>
    <w:p>
      <w:pPr>
        <w:spacing w:after="0" w:before="0"/>
      </w:pPr>
      <w:r>
        <w:rPr>
          <w:b w:val="0"/>
          <w:i w:val="0"/>
          <w:sz w:val="21"/>
        </w:rPr>
        <w:t>Solution: ACS care centres on rapid ECG, aspirin, antiplatelet and antithrombotic therapy, nitrates and analgesia, oxygen if hypoxic, and continuous cardiac monitoring with defibrillator access. Rest and reassurance reduce myocardial oxygen demand.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pleurisy?</w:t>
      </w:r>
    </w:p>
    <w:p>
      <w:pPr>
        <w:spacing w:after="0" w:before="0"/>
      </w:pPr>
      <w:r>
        <w:rPr>
          <w:b w:val="0"/>
          <w:i w:val="0"/>
          <w:sz w:val="22"/>
        </w:rPr>
        <w:t>(a) Sharp chest pain that worsens with deep breathing and coughing</w:t>
      </w:r>
    </w:p>
    <w:p>
      <w:pPr>
        <w:spacing w:after="0" w:before="0"/>
      </w:pPr>
      <w:r>
        <w:rPr>
          <w:b w:val="0"/>
          <w:i w:val="0"/>
          <w:sz w:val="22"/>
        </w:rPr>
        <w:t>(b) Dull constant pain unaffected by breathing</w:t>
      </w:r>
    </w:p>
    <w:p>
      <w:pPr>
        <w:spacing w:after="0" w:before="0"/>
      </w:pPr>
      <w:r>
        <w:rPr>
          <w:b w:val="0"/>
          <w:i w:val="0"/>
          <w:sz w:val="22"/>
        </w:rPr>
        <w:t>(c) Painless swelling of the ankles</w:t>
      </w:r>
    </w:p>
    <w:p>
      <w:pPr>
        <w:spacing w:after="0" w:before="0"/>
      </w:pPr>
      <w:r>
        <w:rPr>
          <w:b w:val="0"/>
          <w:i w:val="0"/>
          <w:sz w:val="22"/>
        </w:rPr>
        <w:t>(d) Pain relieved by lying flat</w:t>
      </w:r>
    </w:p>
    <w:p>
      <w:pPr>
        <w:spacing w:after="0" w:before="40"/>
      </w:pPr>
      <w:r>
        <w:rPr>
          <w:b/>
          <w:i w:val="0"/>
          <w:sz w:val="22"/>
        </w:rPr>
        <w:t>Answer: a</w:t>
      </w:r>
    </w:p>
    <w:p>
      <w:pPr>
        <w:spacing w:after="0" w:before="0"/>
      </w:pPr>
      <w:r>
        <w:rPr>
          <w:b w:val="0"/>
          <w:i w:val="0"/>
          <w:sz w:val="21"/>
        </w:rPr>
        <w:t>Solution: Pleurisy is inflammation of the pleural membranes causing sharp, localised chest pain aggravated by inspiration, coughing, and movement; it is relieved by splinting the chest. Causes include infection, pulmonary embolism, and autoimmune disease.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small bowel obstruction?</w:t>
      </w:r>
    </w:p>
    <w:p>
      <w:pPr>
        <w:spacing w:after="0" w:before="0"/>
      </w:pPr>
      <w:r>
        <w:rPr>
          <w:b w:val="0"/>
          <w:i w:val="0"/>
          <w:sz w:val="22"/>
        </w:rPr>
        <w:t>(a) Give a laxative to stimulate bowel movement</w:t>
      </w:r>
    </w:p>
    <w:p>
      <w:pPr>
        <w:spacing w:after="0" w:before="0"/>
      </w:pPr>
      <w:r>
        <w:rPr>
          <w:b w:val="0"/>
          <w:i w:val="0"/>
          <w:sz w:val="22"/>
        </w:rPr>
        <w:t>(b) Encourage a high-fibre diet</w:t>
      </w:r>
    </w:p>
    <w:p>
      <w:pPr>
        <w:spacing w:after="0" w:before="0"/>
      </w:pPr>
      <w:r>
        <w:rPr>
          <w:b w:val="0"/>
          <w:i w:val="0"/>
          <w:sz w:val="22"/>
        </w:rPr>
        <w:t>(c) Insert a nasogastric tube for decompression, keep the client NPO, and monitor fluid and electrolyte balance</w:t>
      </w:r>
    </w:p>
    <w:p>
      <w:pPr>
        <w:spacing w:after="0" w:before="0"/>
      </w:pPr>
      <w:r>
        <w:rPr>
          <w:b w:val="0"/>
          <w:i w:val="0"/>
          <w:sz w:val="22"/>
        </w:rPr>
        <w:t>(d) Position the client flat and immobile</w:t>
      </w:r>
    </w:p>
    <w:p>
      <w:pPr>
        <w:spacing w:after="0" w:before="40"/>
      </w:pPr>
      <w:r>
        <w:rPr>
          <w:b/>
          <w:i w:val="0"/>
          <w:sz w:val="22"/>
        </w:rPr>
        <w:t>Answer: c</w:t>
      </w:r>
    </w:p>
    <w:p>
      <w:pPr>
        <w:spacing w:after="0" w:before="0"/>
      </w:pPr>
      <w:r>
        <w:rPr>
          <w:b w:val="0"/>
          <w:i w:val="0"/>
          <w:sz w:val="21"/>
        </w:rPr>
        <w:t>Solution: Bowel obstruction is managed by NG decompression, nil by mouth, intravenous fluids and electrolytes, and close monitoring for strangulation (worsening pain, fever, peritonitis), which requires surgery. Laxatives and oral intake are contraindicated.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who develops sudden haemoptysis after a lung biopsy?</w:t>
      </w:r>
    </w:p>
    <w:p>
      <w:pPr>
        <w:spacing w:after="0" w:before="0"/>
      </w:pPr>
      <w:r>
        <w:rPr>
          <w:b w:val="0"/>
          <w:i w:val="0"/>
          <w:sz w:val="22"/>
        </w:rPr>
        <w:t>(a) Encourage the client to cough forcefully</w:t>
      </w:r>
    </w:p>
    <w:p>
      <w:pPr>
        <w:spacing w:after="0" w:before="0"/>
      </w:pPr>
      <w:r>
        <w:rPr>
          <w:b w:val="0"/>
          <w:i w:val="0"/>
          <w:sz w:val="22"/>
        </w:rPr>
        <w:t>(b) Position the client with the bleeding lung dependent, maintain IV access, and notify the physician immediately</w:t>
      </w:r>
    </w:p>
    <w:p>
      <w:pPr>
        <w:spacing w:after="0" w:before="0"/>
      </w:pPr>
      <w:r>
        <w:rPr>
          <w:b w:val="0"/>
          <w:i w:val="0"/>
          <w:sz w:val="22"/>
        </w:rPr>
        <w:t>(c) Send the client home with reassurance</w:t>
      </w:r>
    </w:p>
    <w:p>
      <w:pPr>
        <w:spacing w:after="0" w:before="0"/>
      </w:pPr>
      <w:r>
        <w:rPr>
          <w:b w:val="0"/>
          <w:i w:val="0"/>
          <w:sz w:val="22"/>
        </w:rPr>
        <w:t>(d) Lie the client flat and give warm fluids</w:t>
      </w:r>
    </w:p>
    <w:p>
      <w:pPr>
        <w:spacing w:after="0" w:before="40"/>
      </w:pPr>
      <w:r>
        <w:rPr>
          <w:b/>
          <w:i w:val="0"/>
          <w:sz w:val="22"/>
        </w:rPr>
        <w:t>Answer: b</w:t>
      </w:r>
    </w:p>
    <w:p>
      <w:pPr>
        <w:spacing w:after="0" w:before="0"/>
      </w:pPr>
      <w:r>
        <w:rPr>
          <w:b w:val="0"/>
          <w:i w:val="0"/>
          <w:sz w:val="21"/>
        </w:rPr>
        <w:t>Solution: Haemoptysis after lung biopsy may indicate haemorrhage; the client is positioned with the affected side down to protect the healthy lung, kept NPO, monitored, and the physician is notified for possible intervention. Coughing and movement worsen bleeding.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measuring the blood pressure of a child?</w:t>
      </w:r>
    </w:p>
    <w:p>
      <w:pPr>
        <w:spacing w:after="0" w:before="0"/>
      </w:pPr>
      <w:r>
        <w:rPr>
          <w:b w:val="0"/>
          <w:i w:val="0"/>
          <w:sz w:val="22"/>
        </w:rPr>
        <w:t>(a) Use a cuff with a bladder width about 40% of the arm circumference and cover 80-100% of the arm length</w:t>
      </w:r>
    </w:p>
    <w:p>
      <w:pPr>
        <w:spacing w:after="0" w:before="0"/>
      </w:pPr>
      <w:r>
        <w:rPr>
          <w:b w:val="0"/>
          <w:i w:val="0"/>
          <w:sz w:val="22"/>
        </w:rPr>
        <w:t>(b) Measure on the thigh only</w:t>
      </w:r>
    </w:p>
    <w:p>
      <w:pPr>
        <w:spacing w:after="0" w:before="0"/>
      </w:pPr>
      <w:r>
        <w:rPr>
          <w:b w:val="0"/>
          <w:i w:val="0"/>
          <w:sz w:val="22"/>
        </w:rPr>
        <w:t>(c) Take the reading with the arm below heart level</w:t>
      </w:r>
    </w:p>
    <w:p>
      <w:pPr>
        <w:spacing w:after="0" w:before="0"/>
      </w:pPr>
      <w:r>
        <w:rPr>
          <w:b w:val="0"/>
          <w:i w:val="0"/>
          <w:sz w:val="22"/>
        </w:rPr>
        <w:t>(d) Use the adult cuff for all children</w:t>
      </w:r>
    </w:p>
    <w:p>
      <w:pPr>
        <w:spacing w:after="0" w:before="40"/>
      </w:pPr>
      <w:r>
        <w:rPr>
          <w:b/>
          <w:i w:val="0"/>
          <w:sz w:val="22"/>
        </w:rPr>
        <w:t>Answer: a</w:t>
      </w:r>
    </w:p>
    <w:p>
      <w:pPr>
        <w:spacing w:after="0" w:before="0"/>
      </w:pPr>
      <w:r>
        <w:rPr>
          <w:b w:val="0"/>
          <w:i w:val="0"/>
          <w:sz w:val="21"/>
        </w:rPr>
        <w:t>Solution: The paediatric cuff must match the child's arm: bladder width about 40% of arm circumference and length covering 80-100% of the circumference, with the arm supported at heart level. A cuff that is too small falsely raises the reading.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when a client's intravenous infusion site becomes red, warm, and painful?</w:t>
      </w:r>
    </w:p>
    <w:p>
      <w:pPr>
        <w:spacing w:after="0" w:before="0"/>
      </w:pPr>
      <w:r>
        <w:rPr>
          <w:b w:val="0"/>
          <w:i w:val="0"/>
          <w:sz w:val="22"/>
        </w:rPr>
        <w:t>(a) Increase the infusion rate to flush the site</w:t>
      </w:r>
    </w:p>
    <w:p>
      <w:pPr>
        <w:spacing w:after="0" w:before="0"/>
      </w:pPr>
      <w:r>
        <w:rPr>
          <w:b w:val="0"/>
          <w:i w:val="0"/>
          <w:sz w:val="22"/>
        </w:rPr>
        <w:t>(b) Stop the infusion, remove the cannula, apply a warm or cold compress as ordered, and restart at a new site</w:t>
      </w:r>
    </w:p>
    <w:p>
      <w:pPr>
        <w:spacing w:after="0" w:before="0"/>
      </w:pPr>
      <w:r>
        <w:rPr>
          <w:b w:val="0"/>
          <w:i w:val="0"/>
          <w:sz w:val="22"/>
        </w:rPr>
        <w:t>(c) Continue the infusion and observe for another hour</w:t>
      </w:r>
    </w:p>
    <w:p>
      <w:pPr>
        <w:spacing w:after="0" w:before="0"/>
      </w:pPr>
      <w:r>
        <w:rPr>
          <w:b w:val="0"/>
          <w:i w:val="0"/>
          <w:sz w:val="22"/>
        </w:rPr>
        <w:t>(d) Massage the site vigorously</w:t>
      </w:r>
    </w:p>
    <w:p>
      <w:pPr>
        <w:spacing w:after="0" w:before="40"/>
      </w:pPr>
      <w:r>
        <w:rPr>
          <w:b/>
          <w:i w:val="0"/>
          <w:sz w:val="22"/>
        </w:rPr>
        <w:t>Answer: b</w:t>
      </w:r>
    </w:p>
    <w:p>
      <w:pPr>
        <w:spacing w:after="0" w:before="0"/>
      </w:pPr>
      <w:r>
        <w:rPr>
          <w:b w:val="0"/>
          <w:i w:val="0"/>
          <w:sz w:val="21"/>
        </w:rPr>
        <w:t>Solution: Redness, warmth, and pain at an IV site indicate phlebitis; the infusion is stopped, the cannula removed, the site treated, and a new site selected using aseptic technique. Continuing the infusion risks thrombosis and infection.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 diagnosis of ectopic pregnancy?</w:t>
      </w:r>
    </w:p>
    <w:p>
      <w:pPr>
        <w:spacing w:after="0" w:before="0"/>
      </w:pPr>
      <w:r>
        <w:rPr>
          <w:b w:val="0"/>
          <w:i w:val="0"/>
          <w:sz w:val="22"/>
        </w:rPr>
        <w:t>(a) Encourage bed rest and await spontaneous resolution</w:t>
      </w:r>
    </w:p>
    <w:p>
      <w:pPr>
        <w:spacing w:after="0" w:before="0"/>
      </w:pPr>
      <w:r>
        <w:rPr>
          <w:b w:val="0"/>
          <w:i w:val="0"/>
          <w:sz w:val="22"/>
        </w:rPr>
        <w:t>(b) Apply a heating pad to the lower abdomen</w:t>
      </w:r>
    </w:p>
    <w:p>
      <w:pPr>
        <w:spacing w:after="0" w:before="0"/>
      </w:pPr>
      <w:r>
        <w:rPr>
          <w:b w:val="0"/>
          <w:i w:val="0"/>
          <w:sz w:val="22"/>
        </w:rPr>
        <w:t>(c) Prepare for urgent treatment because rupture can cause life-threatening haemorrhage</w:t>
      </w:r>
    </w:p>
    <w:p>
      <w:pPr>
        <w:spacing w:after="0" w:before="0"/>
      </w:pPr>
      <w:r>
        <w:rPr>
          <w:b w:val="0"/>
          <w:i w:val="0"/>
          <w:sz w:val="22"/>
        </w:rPr>
        <w:t>(d) Give oral fluids and send the client home</w:t>
      </w:r>
    </w:p>
    <w:p>
      <w:pPr>
        <w:spacing w:after="0" w:before="40"/>
      </w:pPr>
      <w:r>
        <w:rPr>
          <w:b/>
          <w:i w:val="0"/>
          <w:sz w:val="22"/>
        </w:rPr>
        <w:t>Answer: c</w:t>
      </w:r>
    </w:p>
    <w:p>
      <w:pPr>
        <w:spacing w:after="0" w:before="0"/>
      </w:pPr>
      <w:r>
        <w:rPr>
          <w:b w:val="0"/>
          <w:i w:val="0"/>
          <w:sz w:val="21"/>
        </w:rPr>
        <w:t>Solution: Ectopic pregnancy, implantation outside the uterus, can rupture the fallopian tube and cause catastrophic bleeding; treatment is medical (methotrexate) or surgical, and any client with abdominal pain, vaginal bleeding, and shock signs needs urgent care. Home observation is unsafe.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normal change of the menopause transition?</w:t>
      </w:r>
    </w:p>
    <w:p>
      <w:pPr>
        <w:spacing w:after="0" w:before="0"/>
      </w:pPr>
      <w:r>
        <w:rPr>
          <w:b w:val="0"/>
          <w:i w:val="0"/>
          <w:sz w:val="22"/>
        </w:rPr>
        <w:t>(a) Increased fertility</w:t>
      </w:r>
    </w:p>
    <w:p>
      <w:pPr>
        <w:spacing w:after="0" w:before="0"/>
      </w:pPr>
      <w:r>
        <w:rPr>
          <w:b w:val="0"/>
          <w:i w:val="0"/>
          <w:sz w:val="22"/>
        </w:rPr>
        <w:t>(b) Heavy continuous bleeding requiring transfusion</w:t>
      </w:r>
    </w:p>
    <w:p>
      <w:pPr>
        <w:spacing w:after="0" w:before="0"/>
      </w:pPr>
      <w:r>
        <w:rPr>
          <w:b w:val="0"/>
          <w:i w:val="0"/>
          <w:sz w:val="22"/>
        </w:rPr>
        <w:t>(c) Irregular cycles, hot flushes, and vaginal dryness from declining oestrogen</w:t>
      </w:r>
    </w:p>
    <w:p>
      <w:pPr>
        <w:spacing w:after="0" w:before="0"/>
      </w:pPr>
      <w:r>
        <w:rPr>
          <w:b w:val="0"/>
          <w:i w:val="0"/>
          <w:sz w:val="22"/>
        </w:rPr>
        <w:t>(d) Sudden loss of all menstruation in one month</w:t>
      </w:r>
    </w:p>
    <w:p>
      <w:pPr>
        <w:spacing w:after="0" w:before="40"/>
      </w:pPr>
      <w:r>
        <w:rPr>
          <w:b/>
          <w:i w:val="0"/>
          <w:sz w:val="22"/>
        </w:rPr>
        <w:t>Answer: c</w:t>
      </w:r>
    </w:p>
    <w:p>
      <w:pPr>
        <w:spacing w:after="0" w:before="0"/>
      </w:pPr>
      <w:r>
        <w:rPr>
          <w:b w:val="0"/>
          <w:i w:val="0"/>
          <w:sz w:val="21"/>
        </w:rPr>
        <w:t>Solution: Perimenopause brings irregular cycles, vasomotor symptoms such as hot flushes and night sweats, and vaginal dryness as ovarian oestrogen declines; these are managed with lifestyle measures, hormonal therapy when appropriate, and supportive care. Heavy bleeding needs evaluation for other causes.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mania who is not sleeping?</w:t>
      </w:r>
    </w:p>
    <w:p>
      <w:pPr>
        <w:spacing w:after="0" w:before="0"/>
      </w:pPr>
      <w:r>
        <w:rPr>
          <w:b w:val="0"/>
          <w:i w:val="0"/>
          <w:sz w:val="22"/>
        </w:rPr>
        <w:t>(a) Encourage the client to stay up all night to tire out</w:t>
      </w:r>
    </w:p>
    <w:p>
      <w:pPr>
        <w:spacing w:after="0" w:before="0"/>
      </w:pPr>
      <w:r>
        <w:rPr>
          <w:b w:val="0"/>
          <w:i w:val="0"/>
          <w:sz w:val="22"/>
        </w:rPr>
        <w:t>(b) Provide a structured, low-stimulation environment, ensure adequate nutrition and hydration, and administer mood stabilisers as prescribed</w:t>
      </w:r>
    </w:p>
    <w:p>
      <w:pPr>
        <w:spacing w:after="0" w:before="0"/>
      </w:pPr>
      <w:r>
        <w:rPr>
          <w:b w:val="0"/>
          <w:i w:val="0"/>
          <w:sz w:val="22"/>
        </w:rPr>
        <w:t>(c) Isolate the client in a dark room all day</w:t>
      </w:r>
    </w:p>
    <w:p>
      <w:pPr>
        <w:spacing w:after="0" w:before="0"/>
      </w:pPr>
      <w:r>
        <w:rPr>
          <w:b w:val="0"/>
          <w:i w:val="0"/>
          <w:sz w:val="22"/>
        </w:rPr>
        <w:t>(d) Provide unlimited access to caffeine</w:t>
      </w:r>
    </w:p>
    <w:p>
      <w:pPr>
        <w:spacing w:after="0" w:before="40"/>
      </w:pPr>
      <w:r>
        <w:rPr>
          <w:b/>
          <w:i w:val="0"/>
          <w:sz w:val="22"/>
        </w:rPr>
        <w:t>Answer: b</w:t>
      </w:r>
    </w:p>
    <w:p>
      <w:pPr>
        <w:spacing w:after="0" w:before="0"/>
      </w:pPr>
      <w:r>
        <w:rPr>
          <w:b w:val="0"/>
          <w:i w:val="0"/>
          <w:sz w:val="21"/>
        </w:rPr>
        <w:t>Solution: The manic client needs reduced stimulation, a predictable routine, adequate food, fluids, and sleep, and medication such as lithium or an antipsychotic; sleep deprivation and overstimulation worsen mania. Seclusion is used only for safety.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of a client with dependent personality disorder?</w:t>
      </w:r>
    </w:p>
    <w:p>
      <w:pPr>
        <w:spacing w:after="0" w:before="0"/>
      </w:pPr>
      <w:r>
        <w:rPr>
          <w:b w:val="0"/>
          <w:i w:val="0"/>
          <w:sz w:val="22"/>
        </w:rPr>
        <w:t>(a) Grandiose sense of self-importance</w:t>
      </w:r>
    </w:p>
    <w:p>
      <w:pPr>
        <w:spacing w:after="0" w:before="0"/>
      </w:pPr>
      <w:r>
        <w:rPr>
          <w:b w:val="0"/>
          <w:i w:val="0"/>
          <w:sz w:val="22"/>
        </w:rPr>
        <w:t>(b) Lack of interest in relationships</w:t>
      </w:r>
    </w:p>
    <w:p>
      <w:pPr>
        <w:spacing w:after="0" w:before="0"/>
      </w:pPr>
      <w:r>
        <w:rPr>
          <w:b w:val="0"/>
          <w:i w:val="0"/>
          <w:sz w:val="22"/>
        </w:rPr>
        <w:t>(c) Recurrent self-harm for attention</w:t>
      </w:r>
    </w:p>
    <w:p>
      <w:pPr>
        <w:spacing w:after="0" w:before="0"/>
      </w:pPr>
      <w:r>
        <w:rPr>
          <w:b w:val="0"/>
          <w:i w:val="0"/>
          <w:sz w:val="22"/>
        </w:rPr>
        <w:t>(d) Excessive need to be taken care of, with submissive and clinging behaviour</w:t>
      </w:r>
    </w:p>
    <w:p>
      <w:pPr>
        <w:spacing w:after="0" w:before="40"/>
      </w:pPr>
      <w:r>
        <w:rPr>
          <w:b/>
          <w:i w:val="0"/>
          <w:sz w:val="22"/>
        </w:rPr>
        <w:t>Answer: d</w:t>
      </w:r>
    </w:p>
    <w:p>
      <w:pPr>
        <w:spacing w:after="0" w:before="0"/>
      </w:pPr>
      <w:r>
        <w:rPr>
          <w:b w:val="0"/>
          <w:i w:val="0"/>
          <w:sz w:val="21"/>
        </w:rPr>
        <w:t>Solution: Dependent personality disorder is marked by an excessive need to be cared for, leading to submissive, clinging behaviour and fear of separation. Narcissistic disorder involves grandiosity, schizoid disorder detachment, and borderline disorder instability with self-harm.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schedule for the BCG vaccine in the national immunisation programme?</w:t>
      </w:r>
    </w:p>
    <w:p>
      <w:pPr>
        <w:spacing w:after="0" w:before="0"/>
      </w:pPr>
      <w:r>
        <w:rPr>
          <w:b w:val="0"/>
          <w:i w:val="0"/>
          <w:sz w:val="22"/>
        </w:rPr>
        <w:t>(a) A dose every year until age five</w:t>
      </w:r>
    </w:p>
    <w:p>
      <w:pPr>
        <w:spacing w:after="0" w:before="0"/>
      </w:pPr>
      <w:r>
        <w:rPr>
          <w:b w:val="0"/>
          <w:i w:val="0"/>
          <w:sz w:val="22"/>
        </w:rPr>
        <w:t>(b) A booster every five years</w:t>
      </w:r>
    </w:p>
    <w:p>
      <w:pPr>
        <w:spacing w:after="0" w:before="0"/>
      </w:pPr>
      <w:r>
        <w:rPr>
          <w:b w:val="0"/>
          <w:i w:val="0"/>
          <w:sz w:val="22"/>
        </w:rPr>
        <w:t>(c) Two doses at 6 and 14 weeks</w:t>
      </w:r>
    </w:p>
    <w:p>
      <w:pPr>
        <w:spacing w:after="0" w:before="0"/>
      </w:pPr>
      <w:r>
        <w:rPr>
          <w:b w:val="0"/>
          <w:i w:val="0"/>
          <w:sz w:val="22"/>
        </w:rPr>
        <w:t>(d) A single dose at birth or as early as possible</w:t>
      </w:r>
    </w:p>
    <w:p>
      <w:pPr>
        <w:spacing w:after="0" w:before="40"/>
      </w:pPr>
      <w:r>
        <w:rPr>
          <w:b/>
          <w:i w:val="0"/>
          <w:sz w:val="22"/>
        </w:rPr>
        <w:t>Answer: d</w:t>
      </w:r>
    </w:p>
    <w:p>
      <w:pPr>
        <w:spacing w:after="0" w:before="0"/>
      </w:pPr>
      <w:r>
        <w:rPr>
          <w:b w:val="0"/>
          <w:i w:val="0"/>
          <w:sz w:val="21"/>
        </w:rPr>
        <w:t>Solution: BCG is given as a single intradermal dose at birth or as soon as possible thereafter, protecting against severe forms of tuberculosis such as miliary TB and TB meningitis in children. It is not repeated in routine childhood immunisation.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responsibility of the community health nurse in tuberculosis control?</w:t>
      </w:r>
    </w:p>
    <w:p>
      <w:pPr>
        <w:spacing w:after="0" w:before="0"/>
      </w:pPr>
      <w:r>
        <w:rPr>
          <w:b w:val="0"/>
          <w:i w:val="0"/>
          <w:sz w:val="22"/>
        </w:rPr>
        <w:t>(a) Treating all cases without laboratory confirmation</w:t>
      </w:r>
    </w:p>
    <w:p>
      <w:pPr>
        <w:spacing w:after="0" w:before="0"/>
      </w:pPr>
      <w:r>
        <w:rPr>
          <w:b w:val="0"/>
          <w:i w:val="0"/>
          <w:sz w:val="22"/>
        </w:rPr>
        <w:t>(b) Identifying suspected cases, referring for diagnosis, and supporting directly observed treatment</w:t>
      </w:r>
    </w:p>
    <w:p>
      <w:pPr>
        <w:spacing w:after="0" w:before="0"/>
      </w:pPr>
      <w:r>
        <w:rPr>
          <w:b w:val="0"/>
          <w:i w:val="0"/>
          <w:sz w:val="22"/>
        </w:rPr>
        <w:t>(c) Advising clients to stop treatment once symptoms improve</w:t>
      </w:r>
    </w:p>
    <w:p>
      <w:pPr>
        <w:spacing w:after="0" w:before="0"/>
      </w:pPr>
      <w:r>
        <w:rPr>
          <w:b w:val="0"/>
          <w:i w:val="0"/>
          <w:sz w:val="22"/>
        </w:rPr>
        <w:t>(d) Giving BCG to adults only</w:t>
      </w:r>
    </w:p>
    <w:p>
      <w:pPr>
        <w:spacing w:after="0" w:before="40"/>
      </w:pPr>
      <w:r>
        <w:rPr>
          <w:b/>
          <w:i w:val="0"/>
          <w:sz w:val="22"/>
        </w:rPr>
        <w:t>Answer: b</w:t>
      </w:r>
    </w:p>
    <w:p>
      <w:pPr>
        <w:spacing w:after="0" w:before="0"/>
      </w:pPr>
      <w:r>
        <w:rPr>
          <w:b w:val="0"/>
          <w:i w:val="0"/>
          <w:sz w:val="21"/>
        </w:rPr>
        <w:t>Solution: Community health nurses are central to TB control: they identify and refer symptomatic individuals, ensure sputum examination, provide directly observed treatment short-course, monitor compliance, and counsel on the importance of completing the full regimen. Interrupted treatment causes drug resistance.</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