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During assessment of a client with suspected meningitis, the nurse finds that flexing the client's neck causes flexion of the hips and knees. This finding is known as:</w:t>
      </w:r>
    </w:p>
    <w:p>
      <w:pPr>
        <w:spacing w:after="0" w:before="0"/>
      </w:pPr>
      <w:r>
        <w:rPr>
          <w:b w:val="0"/>
          <w:i w:val="0"/>
          <w:sz w:val="22"/>
        </w:rPr>
        <w:t>(a) Brudzinski sign</w:t>
      </w:r>
    </w:p>
    <w:p>
      <w:pPr>
        <w:spacing w:after="0" w:before="0"/>
      </w:pPr>
      <w:r>
        <w:rPr>
          <w:b w:val="0"/>
          <w:i w:val="0"/>
          <w:sz w:val="22"/>
        </w:rPr>
        <w:t>(b) Kernig sign</w:t>
      </w:r>
    </w:p>
    <w:p>
      <w:pPr>
        <w:spacing w:after="0" w:before="0"/>
      </w:pPr>
      <w:r>
        <w:rPr>
          <w:b w:val="0"/>
          <w:i w:val="0"/>
          <w:sz w:val="22"/>
        </w:rPr>
        <w:t>(c) Chvostek sign</w:t>
      </w:r>
    </w:p>
    <w:p>
      <w:pPr>
        <w:spacing w:after="0" w:before="0"/>
      </w:pPr>
      <w:r>
        <w:rPr>
          <w:b w:val="0"/>
          <w:i w:val="0"/>
          <w:sz w:val="22"/>
        </w:rPr>
        <w:t>(d) Babinski sign</w:t>
      </w:r>
    </w:p>
    <w:p>
      <w:pPr>
        <w:spacing w:after="0" w:before="40"/>
      </w:pPr>
      <w:r>
        <w:rPr>
          <w:b/>
          <w:i w:val="0"/>
          <w:sz w:val="22"/>
        </w:rPr>
        <w:t>Answer: a</w:t>
      </w:r>
    </w:p>
    <w:p>
      <w:pPr>
        <w:spacing w:after="0" w:before="0"/>
      </w:pPr>
      <w:r>
        <w:rPr>
          <w:b w:val="0"/>
          <w:i w:val="0"/>
          <w:sz w:val="21"/>
        </w:rPr>
        <w:t>Solution: Brudzinski sign is involuntary hip/knee flexion when the neck is flexed, indicating meningeal irritation. Kernig sign is pain or resistance on extending the knee with the hip flexed; Chvostek and Babinski are unrelated to meningeal irritation.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acute cholecystitis reports right upper quadrant pain that worsens when the nurse palpates deeply during inspiration. Which sign is the nurse eliciting?</w:t>
      </w:r>
    </w:p>
    <w:p>
      <w:pPr>
        <w:spacing w:after="0" w:before="0"/>
      </w:pPr>
      <w:r>
        <w:rPr>
          <w:b w:val="0"/>
          <w:i w:val="0"/>
          <w:sz w:val="22"/>
        </w:rPr>
        <w:t>(a) Murphy sign</w:t>
      </w:r>
    </w:p>
    <w:p>
      <w:pPr>
        <w:spacing w:after="0" w:before="0"/>
      </w:pPr>
      <w:r>
        <w:rPr>
          <w:b w:val="0"/>
          <w:i w:val="0"/>
          <w:sz w:val="22"/>
        </w:rPr>
        <w:t>(b) McBurney sign</w:t>
      </w:r>
    </w:p>
    <w:p>
      <w:pPr>
        <w:spacing w:after="0" w:before="0"/>
      </w:pPr>
      <w:r>
        <w:rPr>
          <w:b w:val="0"/>
          <w:i w:val="0"/>
          <w:sz w:val="22"/>
        </w:rPr>
        <w:t>(c) Rovsing sign</w:t>
      </w:r>
    </w:p>
    <w:p>
      <w:pPr>
        <w:spacing w:after="0" w:before="0"/>
      </w:pPr>
      <w:r>
        <w:rPr>
          <w:b w:val="0"/>
          <w:i w:val="0"/>
          <w:sz w:val="22"/>
        </w:rPr>
        <w:t>(d) Psoas sign</w:t>
      </w:r>
    </w:p>
    <w:p>
      <w:pPr>
        <w:spacing w:after="0" w:before="40"/>
      </w:pPr>
      <w:r>
        <w:rPr>
          <w:b/>
          <w:i w:val="0"/>
          <w:sz w:val="22"/>
        </w:rPr>
        <w:t>Answer: a</w:t>
      </w:r>
    </w:p>
    <w:p>
      <w:pPr>
        <w:spacing w:after="0" w:before="0"/>
      </w:pPr>
      <w:r>
        <w:rPr>
          <w:b w:val="0"/>
          <w:i w:val="0"/>
          <w:sz w:val="21"/>
        </w:rPr>
        <w:t>Solution: Murphy sign is inspiratory arrest during deep palpation of the right upper quadrant due to gallbladder inflammation. McBurney and Rovsing signs indicate appendicitis; the psoas sign suggests retrocecal appendicitis.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received a kidney transplant 3 days ago develops fever, oliguria, and tenderness over the graft site. Which condition should the nurse suspect?</w:t>
      </w:r>
    </w:p>
    <w:p>
      <w:pPr>
        <w:spacing w:after="0" w:before="0"/>
      </w:pPr>
      <w:r>
        <w:rPr>
          <w:b w:val="0"/>
          <w:i w:val="0"/>
          <w:sz w:val="22"/>
        </w:rPr>
        <w:t>(a) Acute rejection</w:t>
      </w:r>
    </w:p>
    <w:p>
      <w:pPr>
        <w:spacing w:after="0" w:before="0"/>
      </w:pPr>
      <w:r>
        <w:rPr>
          <w:b w:val="0"/>
          <w:i w:val="0"/>
          <w:sz w:val="22"/>
        </w:rPr>
        <w:t>(b) Urinary tract infection only</w:t>
      </w:r>
    </w:p>
    <w:p>
      <w:pPr>
        <w:spacing w:after="0" w:before="0"/>
      </w:pPr>
      <w:r>
        <w:rPr>
          <w:b w:val="0"/>
          <w:i w:val="0"/>
          <w:sz w:val="22"/>
        </w:rPr>
        <w:t>(c) Cyclosporine toxicity</w:t>
      </w:r>
    </w:p>
    <w:p>
      <w:pPr>
        <w:spacing w:after="0" w:before="0"/>
      </w:pPr>
      <w:r>
        <w:rPr>
          <w:b w:val="0"/>
          <w:i w:val="0"/>
          <w:sz w:val="22"/>
        </w:rPr>
        <w:t>(d) Dehydration</w:t>
      </w:r>
    </w:p>
    <w:p>
      <w:pPr>
        <w:spacing w:after="0" w:before="40"/>
      </w:pPr>
      <w:r>
        <w:rPr>
          <w:b/>
          <w:i w:val="0"/>
          <w:sz w:val="22"/>
        </w:rPr>
        <w:t>Answer: a</w:t>
      </w:r>
    </w:p>
    <w:p>
      <w:pPr>
        <w:spacing w:after="0" w:before="0"/>
      </w:pPr>
      <w:r>
        <w:rPr>
          <w:b w:val="0"/>
          <w:i w:val="0"/>
          <w:sz w:val="21"/>
        </w:rPr>
        <w:t>Solution: Fever, decreasing urine output, graft tenderness, and rising creatinine are classic signs of acute rejection, most common in the first weeks after transplant. Infection and drug toxicity are differentials but do not explain graft tenderness and oliguria together.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returns from a lumbar laminectomy. Which nursing action is correct when repositioning this client?</w:t>
      </w:r>
    </w:p>
    <w:p>
      <w:pPr>
        <w:spacing w:after="0" w:before="0"/>
      </w:pPr>
      <w:r>
        <w:rPr>
          <w:b w:val="0"/>
          <w:i w:val="0"/>
          <w:sz w:val="22"/>
        </w:rPr>
        <w:t>(a) Use log-rolling to keep the spine aligned</w:t>
      </w:r>
    </w:p>
    <w:p>
      <w:pPr>
        <w:spacing w:after="0" w:before="0"/>
      </w:pPr>
      <w:r>
        <w:rPr>
          <w:b w:val="0"/>
          <w:i w:val="0"/>
          <w:sz w:val="22"/>
        </w:rPr>
        <w:t>(b) Allow the client to twist at the waist</w:t>
      </w:r>
    </w:p>
    <w:p>
      <w:pPr>
        <w:spacing w:after="0" w:before="0"/>
      </w:pPr>
      <w:r>
        <w:rPr>
          <w:b w:val="0"/>
          <w:i w:val="0"/>
          <w:sz w:val="22"/>
        </w:rPr>
        <w:t>(c) Place the client in a high-Fowler position</w:t>
      </w:r>
    </w:p>
    <w:p>
      <w:pPr>
        <w:spacing w:after="0" w:before="0"/>
      </w:pPr>
      <w:r>
        <w:rPr>
          <w:b w:val="0"/>
          <w:i w:val="0"/>
          <w:sz w:val="22"/>
        </w:rPr>
        <w:t>(d) Encourage sitting up immediately without support</w:t>
      </w:r>
    </w:p>
    <w:p>
      <w:pPr>
        <w:spacing w:after="0" w:before="40"/>
      </w:pPr>
      <w:r>
        <w:rPr>
          <w:b/>
          <w:i w:val="0"/>
          <w:sz w:val="22"/>
        </w:rPr>
        <w:t>Answer: a</w:t>
      </w:r>
    </w:p>
    <w:p>
      <w:pPr>
        <w:spacing w:after="0" w:before="0"/>
      </w:pPr>
      <w:r>
        <w:rPr>
          <w:b w:val="0"/>
          <w:i w:val="0"/>
          <w:sz w:val="21"/>
        </w:rPr>
        <w:t>Solution: After laminectomy, the client is log-rolled as a unit to keep the spine in alignment and prevent stress on the surgical site. Twisting, unsupported sitting, or excessive flexion/extension can disrupt healing.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member of the healthcare team is responsible for performing the comprehensive admission nursing assessment?</w:t>
      </w:r>
    </w:p>
    <w:p>
      <w:pPr>
        <w:spacing w:after="0" w:before="0"/>
      </w:pPr>
      <w:r>
        <w:rPr>
          <w:b w:val="0"/>
          <w:i w:val="0"/>
          <w:sz w:val="22"/>
        </w:rPr>
        <w:t>(a) The registered nurse</w:t>
      </w:r>
    </w:p>
    <w:p>
      <w:pPr>
        <w:spacing w:after="0" w:before="0"/>
      </w:pPr>
      <w:r>
        <w:rPr>
          <w:b w:val="0"/>
          <w:i w:val="0"/>
          <w:sz w:val="22"/>
        </w:rPr>
        <w:t>(b) The nursing assistant</w:t>
      </w:r>
    </w:p>
    <w:p>
      <w:pPr>
        <w:spacing w:after="0" w:before="0"/>
      </w:pPr>
      <w:r>
        <w:rPr>
          <w:b w:val="0"/>
          <w:i w:val="0"/>
          <w:sz w:val="22"/>
        </w:rPr>
        <w:t>(c) The licensed practical nurse only</w:t>
      </w:r>
    </w:p>
    <w:p>
      <w:pPr>
        <w:spacing w:after="0" w:before="0"/>
      </w:pPr>
      <w:r>
        <w:rPr>
          <w:b w:val="0"/>
          <w:i w:val="0"/>
          <w:sz w:val="22"/>
        </w:rPr>
        <w:t>(d) The physiotherapist</w:t>
      </w:r>
    </w:p>
    <w:p>
      <w:pPr>
        <w:spacing w:after="0" w:before="40"/>
      </w:pPr>
      <w:r>
        <w:rPr>
          <w:b/>
          <w:i w:val="0"/>
          <w:sz w:val="22"/>
        </w:rPr>
        <w:t>Answer: a</w:t>
      </w:r>
    </w:p>
    <w:p>
      <w:pPr>
        <w:spacing w:after="0" w:before="0"/>
      </w:pPr>
      <w:r>
        <w:rPr>
          <w:b w:val="0"/>
          <w:i w:val="0"/>
          <w:sz w:val="21"/>
        </w:rPr>
        <w:t>Solution: The comprehensive admission assessment (health history and physical examination) is the responsibility of the registered nurse, who uses it to develop the plan of care. Nursing assistants collect data but do not perform comprehensive assessments.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route provides the most accurate measurement of core body temperature?</w:t>
      </w:r>
    </w:p>
    <w:p>
      <w:pPr>
        <w:spacing w:after="0" w:before="0"/>
      </w:pPr>
      <w:r>
        <w:rPr>
          <w:b w:val="0"/>
          <w:i w:val="0"/>
          <w:sz w:val="22"/>
        </w:rPr>
        <w:t>(a) Oral</w:t>
      </w:r>
    </w:p>
    <w:p>
      <w:pPr>
        <w:spacing w:after="0" w:before="0"/>
      </w:pPr>
      <w:r>
        <w:rPr>
          <w:b w:val="0"/>
          <w:i w:val="0"/>
          <w:sz w:val="22"/>
        </w:rPr>
        <w:t>(b) Axillary</w:t>
      </w:r>
    </w:p>
    <w:p>
      <w:pPr>
        <w:spacing w:after="0" w:before="0"/>
      </w:pPr>
      <w:r>
        <w:rPr>
          <w:b w:val="0"/>
          <w:i w:val="0"/>
          <w:sz w:val="22"/>
        </w:rPr>
        <w:t>(c) Rectal</w:t>
      </w:r>
    </w:p>
    <w:p>
      <w:pPr>
        <w:spacing w:after="0" w:before="0"/>
      </w:pPr>
      <w:r>
        <w:rPr>
          <w:b w:val="0"/>
          <w:i w:val="0"/>
          <w:sz w:val="22"/>
        </w:rPr>
        <w:t>(d) Skin</w:t>
      </w:r>
    </w:p>
    <w:p>
      <w:pPr>
        <w:spacing w:after="0" w:before="40"/>
      </w:pPr>
      <w:r>
        <w:rPr>
          <w:b/>
          <w:i w:val="0"/>
          <w:sz w:val="22"/>
        </w:rPr>
        <w:t>Answer: c</w:t>
      </w:r>
    </w:p>
    <w:p>
      <w:pPr>
        <w:spacing w:after="0" w:before="0"/>
      </w:pPr>
      <w:r>
        <w:rPr>
          <w:b w:val="0"/>
          <w:i w:val="0"/>
          <w:sz w:val="21"/>
        </w:rPr>
        <w:t>Solution: The rectal route most closely reflects core temperature and is the most accurate, though it is avoided in certain clients (e.g., after rectal surgery, neutropenia). Oral and axillary readings are less accurate; skin is the least accurate.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postpartum client cries easily, feels overwhelmed, and has mood swings on day 4 after delivery but states she loves her baby. Which condition is most likely?</w:t>
      </w:r>
    </w:p>
    <w:p>
      <w:pPr>
        <w:spacing w:after="0" w:before="0"/>
      </w:pPr>
      <w:r>
        <w:rPr>
          <w:b w:val="0"/>
          <w:i w:val="0"/>
          <w:sz w:val="22"/>
        </w:rPr>
        <w:t>(a) Postpartum depression</w:t>
      </w:r>
    </w:p>
    <w:p>
      <w:pPr>
        <w:spacing w:after="0" w:before="0"/>
      </w:pPr>
      <w:r>
        <w:rPr>
          <w:b w:val="0"/>
          <w:i w:val="0"/>
          <w:sz w:val="22"/>
        </w:rPr>
        <w:t>(b) Postpartum blues</w:t>
      </w:r>
    </w:p>
    <w:p>
      <w:pPr>
        <w:spacing w:after="0" w:before="0"/>
      </w:pPr>
      <w:r>
        <w:rPr>
          <w:b w:val="0"/>
          <w:i w:val="0"/>
          <w:sz w:val="22"/>
        </w:rPr>
        <w:t>(c) Postpartum psychosis</w:t>
      </w:r>
    </w:p>
    <w:p>
      <w:pPr>
        <w:spacing w:after="0" w:before="0"/>
      </w:pPr>
      <w:r>
        <w:rPr>
          <w:b w:val="0"/>
          <w:i w:val="0"/>
          <w:sz w:val="22"/>
        </w:rPr>
        <w:t>(d) Bipolar disorder</w:t>
      </w:r>
    </w:p>
    <w:p>
      <w:pPr>
        <w:spacing w:after="0" w:before="40"/>
      </w:pPr>
      <w:r>
        <w:rPr>
          <w:b/>
          <w:i w:val="0"/>
          <w:sz w:val="22"/>
        </w:rPr>
        <w:t>Answer: b</w:t>
      </w:r>
    </w:p>
    <w:p>
      <w:pPr>
        <w:spacing w:after="0" w:before="0"/>
      </w:pPr>
      <w:r>
        <w:rPr>
          <w:b w:val="0"/>
          <w:i w:val="0"/>
          <w:sz w:val="21"/>
        </w:rPr>
        <w:t>Solution: Postpartum blues are transient mood swings, tearfulness, and irritability peaking around day 3-5 and resolving within 2 weeks, without impairment of function. Postpartum depression is persistent and more severe; psychosis involves hallucinations/delusions.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a normal vaginal delivery, the nurse expects the uterine fundus to descend at approximately:</w:t>
      </w:r>
    </w:p>
    <w:p>
      <w:pPr>
        <w:spacing w:after="0" w:before="0"/>
      </w:pPr>
      <w:r>
        <w:rPr>
          <w:b w:val="0"/>
          <w:i w:val="0"/>
          <w:sz w:val="22"/>
        </w:rPr>
        <w:t>(a) 0.5 cm per day</w:t>
      </w:r>
    </w:p>
    <w:p>
      <w:pPr>
        <w:spacing w:after="0" w:before="0"/>
      </w:pPr>
      <w:r>
        <w:rPr>
          <w:b w:val="0"/>
          <w:i w:val="0"/>
          <w:sz w:val="22"/>
        </w:rPr>
        <w:t>(b) 1 cm per day</w:t>
      </w:r>
    </w:p>
    <w:p>
      <w:pPr>
        <w:spacing w:after="0" w:before="0"/>
      </w:pPr>
      <w:r>
        <w:rPr>
          <w:b w:val="0"/>
          <w:i w:val="0"/>
          <w:sz w:val="22"/>
        </w:rPr>
        <w:t>(c) 2 cm per day</w:t>
      </w:r>
    </w:p>
    <w:p>
      <w:pPr>
        <w:spacing w:after="0" w:before="0"/>
      </w:pPr>
      <w:r>
        <w:rPr>
          <w:b w:val="0"/>
          <w:i w:val="0"/>
          <w:sz w:val="22"/>
        </w:rPr>
        <w:t>(d) 3 cm per day</w:t>
      </w:r>
    </w:p>
    <w:p>
      <w:pPr>
        <w:spacing w:after="0" w:before="40"/>
      </w:pPr>
      <w:r>
        <w:rPr>
          <w:b/>
          <w:i w:val="0"/>
          <w:sz w:val="22"/>
        </w:rPr>
        <w:t>Answer: b</w:t>
      </w:r>
    </w:p>
    <w:p>
      <w:pPr>
        <w:spacing w:after="0" w:before="0"/>
      </w:pPr>
      <w:r>
        <w:rPr>
          <w:b w:val="0"/>
          <w:i w:val="0"/>
          <w:sz w:val="21"/>
        </w:rPr>
        <w:t>Solution: Involution proceeds at about 1 cm per day: the fundus is at the umbilicus immediately after delivery, about 1 cm below it on day 1, and is non-palpable by approximately 2 weeks.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borderline personality disorder idealizes a staff member one day and devalues them the next, telling other clients the nurse is incompetent. Which nursing intervention is most appropriate?</w:t>
      </w:r>
    </w:p>
    <w:p>
      <w:pPr>
        <w:spacing w:after="0" w:before="0"/>
      </w:pPr>
      <w:r>
        <w:rPr>
          <w:b w:val="0"/>
          <w:i w:val="0"/>
          <w:sz w:val="22"/>
        </w:rPr>
        <w:t>(a) Set consistent limits and maintain neutral, matter-of-fact responses</w:t>
      </w:r>
    </w:p>
    <w:p>
      <w:pPr>
        <w:spacing w:after="0" w:before="0"/>
      </w:pPr>
      <w:r>
        <w:rPr>
          <w:b w:val="0"/>
          <w:i w:val="0"/>
          <w:sz w:val="22"/>
        </w:rPr>
        <w:t>(b) Ignore the behavior to avoid reinforcing it</w:t>
      </w:r>
    </w:p>
    <w:p>
      <w:pPr>
        <w:spacing w:after="0" w:before="0"/>
      </w:pPr>
      <w:r>
        <w:rPr>
          <w:b w:val="0"/>
          <w:i w:val="0"/>
          <w:sz w:val="22"/>
        </w:rPr>
        <w:t>(c) Ask the client to leave the unit for the day</w:t>
      </w:r>
    </w:p>
    <w:p>
      <w:pPr>
        <w:spacing w:after="0" w:before="0"/>
      </w:pPr>
      <w:r>
        <w:rPr>
          <w:b w:val="0"/>
          <w:i w:val="0"/>
          <w:sz w:val="22"/>
        </w:rPr>
        <w:t>(d) Argue that the nurse is competent</w:t>
      </w:r>
    </w:p>
    <w:p>
      <w:pPr>
        <w:spacing w:after="0" w:before="40"/>
      </w:pPr>
      <w:r>
        <w:rPr>
          <w:b/>
          <w:i w:val="0"/>
          <w:sz w:val="22"/>
        </w:rPr>
        <w:t>Answer: a</w:t>
      </w:r>
    </w:p>
    <w:p>
      <w:pPr>
        <w:spacing w:after="0" w:before="0"/>
      </w:pPr>
      <w:r>
        <w:rPr>
          <w:b w:val="0"/>
          <w:i w:val="0"/>
          <w:sz w:val="21"/>
        </w:rPr>
        <w:t>Solution: Splitting (idealization alternating with devaluation) is managed by consistent limits, structured expectations, and neutral responses from the whole team, avoiding arguments or special treatment. This reduces manipulation and promotes safety.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class of medication is most commonly used to prevent seizures during alcohol withdrawal?</w:t>
      </w:r>
    </w:p>
    <w:p>
      <w:pPr>
        <w:spacing w:after="0" w:before="0"/>
      </w:pPr>
      <w:r>
        <w:rPr>
          <w:b w:val="0"/>
          <w:i w:val="0"/>
          <w:sz w:val="22"/>
        </w:rPr>
        <w:t>(a) Benzodiazepines</w:t>
      </w:r>
    </w:p>
    <w:p>
      <w:pPr>
        <w:spacing w:after="0" w:before="0"/>
      </w:pPr>
      <w:r>
        <w:rPr>
          <w:b w:val="0"/>
          <w:i w:val="0"/>
          <w:sz w:val="22"/>
        </w:rPr>
        <w:t>(b) Typical antipsychotics</w:t>
      </w:r>
    </w:p>
    <w:p>
      <w:pPr>
        <w:spacing w:after="0" w:before="0"/>
      </w:pPr>
      <w:r>
        <w:rPr>
          <w:b w:val="0"/>
          <w:i w:val="0"/>
          <w:sz w:val="22"/>
        </w:rPr>
        <w:t>(c) SSRIs</w:t>
      </w:r>
    </w:p>
    <w:p>
      <w:pPr>
        <w:spacing w:after="0" w:before="0"/>
      </w:pPr>
      <w:r>
        <w:rPr>
          <w:b w:val="0"/>
          <w:i w:val="0"/>
          <w:sz w:val="22"/>
        </w:rPr>
        <w:t>(d) Stimulants</w:t>
      </w:r>
    </w:p>
    <w:p>
      <w:pPr>
        <w:spacing w:after="0" w:before="40"/>
      </w:pPr>
      <w:r>
        <w:rPr>
          <w:b/>
          <w:i w:val="0"/>
          <w:sz w:val="22"/>
        </w:rPr>
        <w:t>Answer: a</w:t>
      </w:r>
    </w:p>
    <w:p>
      <w:pPr>
        <w:spacing w:after="0" w:before="0"/>
      </w:pPr>
      <w:r>
        <w:rPr>
          <w:b w:val="0"/>
          <w:i w:val="0"/>
          <w:sz w:val="21"/>
        </w:rPr>
        <w:t>Solution: Benzodiazepines (e.g., lorazepam, diazepam, chlordiazepoxide) are the mainstay for preventing and treating alcohol withdrawal seizures and delirium tremens. Antipsychotics and antidepressants do not prevent withdrawal seizures.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approach is most effective when caring for a toddler who is in the negativism stage and refuses to take medicine?</w:t>
      </w:r>
    </w:p>
    <w:p>
      <w:pPr>
        <w:spacing w:after="0" w:before="0"/>
      </w:pPr>
      <w:r>
        <w:rPr>
          <w:b w:val="0"/>
          <w:i w:val="0"/>
          <w:sz w:val="22"/>
        </w:rPr>
        <w:t>(a) Give the child a choice between two acceptable options</w:t>
      </w:r>
    </w:p>
    <w:p>
      <w:pPr>
        <w:spacing w:after="0" w:before="0"/>
      </w:pPr>
      <w:r>
        <w:rPr>
          <w:b w:val="0"/>
          <w:i w:val="0"/>
          <w:sz w:val="22"/>
        </w:rPr>
        <w:t>(b) Hold the child down and administer the medicine</w:t>
      </w:r>
    </w:p>
    <w:p>
      <w:pPr>
        <w:spacing w:after="0" w:before="0"/>
      </w:pPr>
      <w:r>
        <w:rPr>
          <w:b w:val="0"/>
          <w:i w:val="0"/>
          <w:sz w:val="22"/>
        </w:rPr>
        <w:t>(c) Tell the child the medicine tastes like candy</w:t>
      </w:r>
    </w:p>
    <w:p>
      <w:pPr>
        <w:spacing w:after="0" w:before="0"/>
      </w:pPr>
      <w:r>
        <w:rPr>
          <w:b w:val="0"/>
          <w:i w:val="0"/>
          <w:sz w:val="22"/>
        </w:rPr>
        <w:t>(d) Skip the dose and inform the provider</w:t>
      </w:r>
    </w:p>
    <w:p>
      <w:pPr>
        <w:spacing w:after="0" w:before="40"/>
      </w:pPr>
      <w:r>
        <w:rPr>
          <w:b/>
          <w:i w:val="0"/>
          <w:sz w:val="22"/>
        </w:rPr>
        <w:t>Answer: a</w:t>
      </w:r>
    </w:p>
    <w:p>
      <w:pPr>
        <w:spacing w:after="0" w:before="0"/>
      </w:pPr>
      <w:r>
        <w:rPr>
          <w:b w:val="0"/>
          <w:i w:val="0"/>
          <w:sz w:val="21"/>
        </w:rPr>
        <w:t>Solution: Toddlers assert autonomy through negativism; offering limited choices ('Do you want it from the red cup or the blue cup?') gives the child control while ensuring the dose is given. Forcing or deceiving increases resistance and is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managing teething discomfort in an infant?</w:t>
      </w:r>
    </w:p>
    <w:p>
      <w:pPr>
        <w:spacing w:after="0" w:before="0"/>
      </w:pPr>
      <w:r>
        <w:rPr>
          <w:b w:val="0"/>
          <w:i w:val="0"/>
          <w:sz w:val="22"/>
        </w:rPr>
        <w:t>(a) Rub the gums with a clean, cool teething ring</w:t>
      </w:r>
    </w:p>
    <w:p>
      <w:pPr>
        <w:spacing w:after="0" w:before="0"/>
      </w:pPr>
      <w:r>
        <w:rPr>
          <w:b w:val="0"/>
          <w:i w:val="0"/>
          <w:sz w:val="22"/>
        </w:rPr>
        <w:t>(b) Apply aspirin directly to the gums</w:t>
      </w:r>
    </w:p>
    <w:p>
      <w:pPr>
        <w:spacing w:after="0" w:before="0"/>
      </w:pPr>
      <w:r>
        <w:rPr>
          <w:b w:val="0"/>
          <w:i w:val="0"/>
          <w:sz w:val="22"/>
        </w:rPr>
        <w:t>(c) Tie a teething necklace around the infant's neck</w:t>
      </w:r>
    </w:p>
    <w:p>
      <w:pPr>
        <w:spacing w:after="0" w:before="0"/>
      </w:pPr>
      <w:r>
        <w:rPr>
          <w:b w:val="0"/>
          <w:i w:val="0"/>
          <w:sz w:val="22"/>
        </w:rPr>
        <w:t>(d) Use honey on the gums to soothe pain</w:t>
      </w:r>
    </w:p>
    <w:p>
      <w:pPr>
        <w:spacing w:after="0" w:before="40"/>
      </w:pPr>
      <w:r>
        <w:rPr>
          <w:b/>
          <w:i w:val="0"/>
          <w:sz w:val="22"/>
        </w:rPr>
        <w:t>Answer: a</w:t>
      </w:r>
    </w:p>
    <w:p>
      <w:pPr>
        <w:spacing w:after="0" w:before="0"/>
      </w:pPr>
      <w:r>
        <w:rPr>
          <w:b w:val="0"/>
          <w:i w:val="0"/>
          <w:sz w:val="21"/>
        </w:rPr>
        <w:t>Solution: A clean, cool teething ring or gentle gum massage soothes teething pain. Aspirin is never applied to gums (Reye syndrome risk), teething necklaces pose a strangulation risk, and honey is contraindicated under 1 year.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health-education method is most effective when teaching an illiterate rural group about handwashing?</w:t>
      </w:r>
    </w:p>
    <w:p>
      <w:pPr>
        <w:spacing w:after="0" w:before="0"/>
      </w:pPr>
      <w:r>
        <w:rPr>
          <w:b w:val="0"/>
          <w:i w:val="0"/>
          <w:sz w:val="22"/>
        </w:rPr>
        <w:t>(a) Distribution of printed pamphlets</w:t>
      </w:r>
    </w:p>
    <w:p>
      <w:pPr>
        <w:spacing w:after="0" w:before="0"/>
      </w:pPr>
      <w:r>
        <w:rPr>
          <w:b w:val="0"/>
          <w:i w:val="0"/>
          <w:sz w:val="22"/>
        </w:rPr>
        <w:t>(b) A live demonstration with return demonstration</w:t>
      </w:r>
    </w:p>
    <w:p>
      <w:pPr>
        <w:spacing w:after="0" w:before="0"/>
      </w:pPr>
      <w:r>
        <w:rPr>
          <w:b w:val="0"/>
          <w:i w:val="0"/>
          <w:sz w:val="22"/>
        </w:rPr>
        <w:t>(c) A recorded lecture in English</w:t>
      </w:r>
    </w:p>
    <w:p>
      <w:pPr>
        <w:spacing w:after="0" w:before="0"/>
      </w:pPr>
      <w:r>
        <w:rPr>
          <w:b w:val="0"/>
          <w:i w:val="0"/>
          <w:sz w:val="22"/>
        </w:rPr>
        <w:t>(d) A written quiz</w:t>
      </w:r>
    </w:p>
    <w:p>
      <w:pPr>
        <w:spacing w:after="0" w:before="40"/>
      </w:pPr>
      <w:r>
        <w:rPr>
          <w:b/>
          <w:i w:val="0"/>
          <w:sz w:val="22"/>
        </w:rPr>
        <w:t>Answer: b</w:t>
      </w:r>
    </w:p>
    <w:p>
      <w:pPr>
        <w:spacing w:after="0" w:before="0"/>
      </w:pPr>
      <w:r>
        <w:rPr>
          <w:b w:val="0"/>
          <w:i w:val="0"/>
          <w:sz w:val="21"/>
        </w:rPr>
        <w:t>Solution: For illiterate audiences, demonstration with return demonstration is most effective because it uses visual and psychomotor learning without depending on reading. Pamphlets, English lectures, and written quizzes are inappropriate for this group.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vaccines are most likely to be damaged if the cold chain is breached by freezing?</w:t>
      </w:r>
    </w:p>
    <w:p>
      <w:pPr>
        <w:spacing w:after="0" w:before="0"/>
      </w:pPr>
      <w:r>
        <w:rPr>
          <w:b w:val="0"/>
          <w:i w:val="0"/>
          <w:sz w:val="22"/>
        </w:rPr>
        <w:t>(a) DPT and hepatitis B</w:t>
      </w:r>
    </w:p>
    <w:p>
      <w:pPr>
        <w:spacing w:after="0" w:before="0"/>
      </w:pPr>
      <w:r>
        <w:rPr>
          <w:b w:val="0"/>
          <w:i w:val="0"/>
          <w:sz w:val="22"/>
        </w:rPr>
        <w:t>(b) OPV and measles</w:t>
      </w:r>
    </w:p>
    <w:p>
      <w:pPr>
        <w:spacing w:after="0" w:before="0"/>
      </w:pPr>
      <w:r>
        <w:rPr>
          <w:b w:val="0"/>
          <w:i w:val="0"/>
          <w:sz w:val="22"/>
        </w:rPr>
        <w:t>(c) BCG and varicella</w:t>
      </w:r>
    </w:p>
    <w:p>
      <w:pPr>
        <w:spacing w:after="0" w:before="0"/>
      </w:pPr>
      <w:r>
        <w:rPr>
          <w:b w:val="0"/>
          <w:i w:val="0"/>
          <w:sz w:val="22"/>
        </w:rPr>
        <w:t>(d) Oral typhoid</w:t>
      </w:r>
    </w:p>
    <w:p>
      <w:pPr>
        <w:spacing w:after="0" w:before="40"/>
      </w:pPr>
      <w:r>
        <w:rPr>
          <w:b/>
          <w:i w:val="0"/>
          <w:sz w:val="22"/>
        </w:rPr>
        <w:t>Answer: a</w:t>
      </w:r>
    </w:p>
    <w:p>
      <w:pPr>
        <w:spacing w:after="0" w:before="0"/>
      </w:pPr>
      <w:r>
        <w:rPr>
          <w:b w:val="0"/>
          <w:i w:val="0"/>
          <w:sz w:val="21"/>
        </w:rPr>
        <w:t>Solution: DPT and hepatitis B are freeze-sensitive: freezing destroys the aluminum-adsorbed antigens and causes flocculation/irreversible loss of potency. OPV, measles, and BCG tolerate freezing (they are stored frozen) but are heat-sensitive.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According to Maslow's hierarchy of needs, which need must be met first before higher-level needs can be addressed?</w:t>
      </w:r>
    </w:p>
    <w:p>
      <w:pPr>
        <w:spacing w:after="0" w:before="0"/>
      </w:pPr>
      <w:r>
        <w:rPr>
          <w:b w:val="0"/>
          <w:i w:val="0"/>
          <w:sz w:val="22"/>
        </w:rPr>
        <w:t>(a) Self-esteem</w:t>
      </w:r>
    </w:p>
    <w:p>
      <w:pPr>
        <w:spacing w:after="0" w:before="0"/>
      </w:pPr>
      <w:r>
        <w:rPr>
          <w:b w:val="0"/>
          <w:i w:val="0"/>
          <w:sz w:val="22"/>
        </w:rPr>
        <w:t>(b) Physiological needs such as air, food, and water</w:t>
      </w:r>
    </w:p>
    <w:p>
      <w:pPr>
        <w:spacing w:after="0" w:before="0"/>
      </w:pPr>
      <w:r>
        <w:rPr>
          <w:b w:val="0"/>
          <w:i w:val="0"/>
          <w:sz w:val="22"/>
        </w:rPr>
        <w:t>(c) Love and belonging</w:t>
      </w:r>
    </w:p>
    <w:p>
      <w:pPr>
        <w:spacing w:after="0" w:before="0"/>
      </w:pPr>
      <w:r>
        <w:rPr>
          <w:b w:val="0"/>
          <w:i w:val="0"/>
          <w:sz w:val="22"/>
        </w:rPr>
        <w:t>(d) Self-actualization</w:t>
      </w:r>
    </w:p>
    <w:p>
      <w:pPr>
        <w:spacing w:after="0" w:before="40"/>
      </w:pPr>
      <w:r>
        <w:rPr>
          <w:b/>
          <w:i w:val="0"/>
          <w:sz w:val="22"/>
        </w:rPr>
        <w:t>Answer: b</w:t>
      </w:r>
    </w:p>
    <w:p>
      <w:pPr>
        <w:spacing w:after="0" w:before="0"/>
      </w:pPr>
      <w:r>
        <w:rPr>
          <w:b w:val="0"/>
          <w:i w:val="0"/>
          <w:sz w:val="21"/>
        </w:rPr>
        <w:t>Solution: Maslow's hierarchy places physiological needs (oxygen, food, water, sleep) at the base; they must be satisfied before safety, love/belonging, esteem, and self-actualization needs become motivating. Nurses prioritize physiological needs first.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nursing research, a null hypothesis states that:</w:t>
      </w:r>
    </w:p>
    <w:p>
      <w:pPr>
        <w:spacing w:after="0" w:before="0"/>
      </w:pPr>
      <w:r>
        <w:rPr>
          <w:b w:val="0"/>
          <w:i w:val="0"/>
          <w:sz w:val="22"/>
        </w:rPr>
        <w:t>(a) There is a significant relationship between the variables</w:t>
      </w:r>
    </w:p>
    <w:p>
      <w:pPr>
        <w:spacing w:after="0" w:before="0"/>
      </w:pPr>
      <w:r>
        <w:rPr>
          <w:b w:val="0"/>
          <w:i w:val="0"/>
          <w:sz w:val="22"/>
        </w:rPr>
        <w:t>(b) There is no relationship or difference between the variables under study</w:t>
      </w:r>
    </w:p>
    <w:p>
      <w:pPr>
        <w:spacing w:after="0" w:before="0"/>
      </w:pPr>
      <w:r>
        <w:rPr>
          <w:b w:val="0"/>
          <w:i w:val="0"/>
          <w:sz w:val="22"/>
        </w:rPr>
        <w:t>(c) The study will prove the intervention works</w:t>
      </w:r>
    </w:p>
    <w:p>
      <w:pPr>
        <w:spacing w:after="0" w:before="0"/>
      </w:pPr>
      <w:r>
        <w:rPr>
          <w:b w:val="0"/>
          <w:i w:val="0"/>
          <w:sz w:val="22"/>
        </w:rPr>
        <w:t>(d) The sample represents the population</w:t>
      </w:r>
    </w:p>
    <w:p>
      <w:pPr>
        <w:spacing w:after="0" w:before="40"/>
      </w:pPr>
      <w:r>
        <w:rPr>
          <w:b/>
          <w:i w:val="0"/>
          <w:sz w:val="22"/>
        </w:rPr>
        <w:t>Answer: b</w:t>
      </w:r>
    </w:p>
    <w:p>
      <w:pPr>
        <w:spacing w:after="0" w:before="0"/>
      </w:pPr>
      <w:r>
        <w:rPr>
          <w:b w:val="0"/>
          <w:i w:val="0"/>
          <w:sz w:val="21"/>
        </w:rPr>
        <w:t>Solution: The null hypothesis (H0) proposes no effect, relationship, or difference between variables; researchers test whether the data allow them to reject it in favor of the alternative hypothesis. It is not a statement of expected success.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first step in developing a lesson plan for a nursing class?</w:t>
      </w:r>
    </w:p>
    <w:p>
      <w:pPr>
        <w:spacing w:after="0" w:before="0"/>
      </w:pPr>
      <w:r>
        <w:rPr>
          <w:b w:val="0"/>
          <w:i w:val="0"/>
          <w:sz w:val="22"/>
        </w:rPr>
        <w:t>(a) Selecting audiovisual aids</w:t>
      </w:r>
    </w:p>
    <w:p>
      <w:pPr>
        <w:spacing w:after="0" w:before="0"/>
      </w:pPr>
      <w:r>
        <w:rPr>
          <w:b w:val="0"/>
          <w:i w:val="0"/>
          <w:sz w:val="22"/>
        </w:rPr>
        <w:t>(b) Writing clear, measurable learning objectives</w:t>
      </w:r>
    </w:p>
    <w:p>
      <w:pPr>
        <w:spacing w:after="0" w:before="0"/>
      </w:pPr>
      <w:r>
        <w:rPr>
          <w:b w:val="0"/>
          <w:i w:val="0"/>
          <w:sz w:val="22"/>
        </w:rPr>
        <w:t>(c) Preparing the question paper</w:t>
      </w:r>
    </w:p>
    <w:p>
      <w:pPr>
        <w:spacing w:after="0" w:before="0"/>
      </w:pPr>
      <w:r>
        <w:rPr>
          <w:b w:val="0"/>
          <w:i w:val="0"/>
          <w:sz w:val="22"/>
        </w:rPr>
        <w:t>(d) Deciding the evaluation method</w:t>
      </w:r>
    </w:p>
    <w:p>
      <w:pPr>
        <w:spacing w:after="0" w:before="40"/>
      </w:pPr>
      <w:r>
        <w:rPr>
          <w:b/>
          <w:i w:val="0"/>
          <w:sz w:val="22"/>
        </w:rPr>
        <w:t>Answer: b</w:t>
      </w:r>
    </w:p>
    <w:p>
      <w:pPr>
        <w:spacing w:after="0" w:before="0"/>
      </w:pPr>
      <w:r>
        <w:rPr>
          <w:b w:val="0"/>
          <w:i w:val="0"/>
          <w:sz w:val="21"/>
        </w:rPr>
        <w:t>Solution: Learning objectives are the foundation of a lesson plan—they guide content selection, teaching methods, and evaluation. Aids, evaluation, and assessment are planned after objectives are defined.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For a minor child requiring surgery, who is legally authorized to give informed consent?</w:t>
      </w:r>
    </w:p>
    <w:p>
      <w:pPr>
        <w:spacing w:after="0" w:before="0"/>
      </w:pPr>
      <w:r>
        <w:rPr>
          <w:b w:val="0"/>
          <w:i w:val="0"/>
          <w:sz w:val="22"/>
        </w:rPr>
        <w:t>(a) The attending nurse</w:t>
      </w:r>
    </w:p>
    <w:p>
      <w:pPr>
        <w:spacing w:after="0" w:before="0"/>
      </w:pPr>
      <w:r>
        <w:rPr>
          <w:b w:val="0"/>
          <w:i w:val="0"/>
          <w:sz w:val="22"/>
        </w:rPr>
        <w:t>(b) A parent or legal guardian</w:t>
      </w:r>
    </w:p>
    <w:p>
      <w:pPr>
        <w:spacing w:after="0" w:before="0"/>
      </w:pPr>
      <w:r>
        <w:rPr>
          <w:b w:val="0"/>
          <w:i w:val="0"/>
          <w:sz w:val="22"/>
        </w:rPr>
        <w:t>(c) Any adult relative</w:t>
      </w:r>
    </w:p>
    <w:p>
      <w:pPr>
        <w:spacing w:after="0" w:before="0"/>
      </w:pPr>
      <w:r>
        <w:rPr>
          <w:b w:val="0"/>
          <w:i w:val="0"/>
          <w:sz w:val="22"/>
        </w:rPr>
        <w:t>(d) The child's teacher</w:t>
      </w:r>
    </w:p>
    <w:p>
      <w:pPr>
        <w:spacing w:after="0" w:before="40"/>
      </w:pPr>
      <w:r>
        <w:rPr>
          <w:b/>
          <w:i w:val="0"/>
          <w:sz w:val="22"/>
        </w:rPr>
        <w:t>Answer: b</w:t>
      </w:r>
    </w:p>
    <w:p>
      <w:pPr>
        <w:spacing w:after="0" w:before="0"/>
      </w:pPr>
      <w:r>
        <w:rPr>
          <w:b w:val="0"/>
          <w:i w:val="0"/>
          <w:sz w:val="21"/>
        </w:rPr>
        <w:t>Solution: Informed consent for a minor must be obtained from a parent or legal guardian. The nurse witnesses consent and verifies that the provider has explained the procedure, risks, and alternatives; the nurse does not obtain consent for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major benefit of using an electronic health record (EHR) in nursing practice?</w:t>
      </w:r>
    </w:p>
    <w:p>
      <w:pPr>
        <w:spacing w:after="0" w:before="0"/>
      </w:pPr>
      <w:r>
        <w:rPr>
          <w:b w:val="0"/>
          <w:i w:val="0"/>
          <w:sz w:val="22"/>
        </w:rPr>
        <w:t>(a) Improved legibility and immediate access to client information</w:t>
      </w:r>
    </w:p>
    <w:p>
      <w:pPr>
        <w:spacing w:after="0" w:before="0"/>
      </w:pPr>
      <w:r>
        <w:rPr>
          <w:b w:val="0"/>
          <w:i w:val="0"/>
          <w:sz w:val="22"/>
        </w:rPr>
        <w:t>(b) Permanent loss of data during power failure</w:t>
      </w:r>
    </w:p>
    <w:p>
      <w:pPr>
        <w:spacing w:after="0" w:before="0"/>
      </w:pPr>
      <w:r>
        <w:rPr>
          <w:b w:val="0"/>
          <w:i w:val="0"/>
          <w:sz w:val="22"/>
        </w:rPr>
        <w:t>(c) Increased medication errors</w:t>
      </w:r>
    </w:p>
    <w:p>
      <w:pPr>
        <w:spacing w:after="0" w:before="0"/>
      </w:pPr>
      <w:r>
        <w:rPr>
          <w:b w:val="0"/>
          <w:i w:val="0"/>
          <w:sz w:val="22"/>
        </w:rPr>
        <w:t>(d) Slower documentation for all nurses</w:t>
      </w:r>
    </w:p>
    <w:p>
      <w:pPr>
        <w:spacing w:after="0" w:before="40"/>
      </w:pPr>
      <w:r>
        <w:rPr>
          <w:b/>
          <w:i w:val="0"/>
          <w:sz w:val="22"/>
        </w:rPr>
        <w:t>Answer: a</w:t>
      </w:r>
    </w:p>
    <w:p>
      <w:pPr>
        <w:spacing w:after="0" w:before="0"/>
      </w:pPr>
      <w:r>
        <w:rPr>
          <w:b w:val="0"/>
          <w:i w:val="0"/>
          <w:sz w:val="21"/>
        </w:rPr>
        <w:t>Solution: EHRs improve legibility, reduce duplicate testing, allow immediate, simultaneous access to records, and support decision-making. Downtime protocols exist for power failure; good design reduces rather than increases errors.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competent client refuses a prescribed blood transfusion. Which ethical principle supports the nurse respecting this decision?</w:t>
      </w:r>
    </w:p>
    <w:p>
      <w:pPr>
        <w:spacing w:after="0" w:before="0"/>
      </w:pPr>
      <w:r>
        <w:rPr>
          <w:b w:val="0"/>
          <w:i w:val="0"/>
          <w:sz w:val="22"/>
        </w:rPr>
        <w:t>(a) Beneficence</w:t>
      </w:r>
    </w:p>
    <w:p>
      <w:pPr>
        <w:spacing w:after="0" w:before="0"/>
      </w:pPr>
      <w:r>
        <w:rPr>
          <w:b w:val="0"/>
          <w:i w:val="0"/>
          <w:sz w:val="22"/>
        </w:rPr>
        <w:t>(b) Autonomy</w:t>
      </w:r>
    </w:p>
    <w:p>
      <w:pPr>
        <w:spacing w:after="0" w:before="0"/>
      </w:pPr>
      <w:r>
        <w:rPr>
          <w:b w:val="0"/>
          <w:i w:val="0"/>
          <w:sz w:val="22"/>
        </w:rPr>
        <w:t>(c) Non-maleficence</w:t>
      </w:r>
    </w:p>
    <w:p>
      <w:pPr>
        <w:spacing w:after="0" w:before="0"/>
      </w:pPr>
      <w:r>
        <w:rPr>
          <w:b w:val="0"/>
          <w:i w:val="0"/>
          <w:sz w:val="22"/>
        </w:rPr>
        <w:t>(d) Justice</w:t>
      </w:r>
    </w:p>
    <w:p>
      <w:pPr>
        <w:spacing w:after="0" w:before="40"/>
      </w:pPr>
      <w:r>
        <w:rPr>
          <w:b/>
          <w:i w:val="0"/>
          <w:sz w:val="22"/>
        </w:rPr>
        <w:t>Answer: b</w:t>
      </w:r>
    </w:p>
    <w:p>
      <w:pPr>
        <w:spacing w:after="0" w:before="0"/>
      </w:pPr>
      <w:r>
        <w:rPr>
          <w:b w:val="0"/>
          <w:i w:val="0"/>
          <w:sz w:val="21"/>
        </w:rPr>
        <w:t>Solution: Autonomy is the right of the client to make informed decisions about their own care, including refusal of treatment. Beneficence (doing good) and non-maleficence (avoiding harm) do not override the autonomous choice of a competent adult.</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