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120"/>
      </w:pPr>
      <w:r>
        <w:rPr>
          <w:b w:val="0"/>
          <w:i w:val="0"/>
          <w:sz w:val="22"/>
        </w:rPr>
        <w:t>Question: A client with COPD is taught pursed-lip breathing. What is the primary purpose of this technique?</w:t>
      </w:r>
    </w:p>
    <w:p>
      <w:pPr>
        <w:spacing w:after="0" w:before="0"/>
      </w:pPr>
      <w:r>
        <w:rPr>
          <w:b w:val="0"/>
          <w:i w:val="0"/>
          <w:sz w:val="22"/>
        </w:rPr>
        <w:t>(a) To increase oxygen concentration in the inspired air</w:t>
      </w:r>
    </w:p>
    <w:p>
      <w:pPr>
        <w:spacing w:after="0" w:before="0"/>
      </w:pPr>
      <w:r>
        <w:rPr>
          <w:b w:val="0"/>
          <w:i w:val="0"/>
          <w:sz w:val="22"/>
        </w:rPr>
        <w:t>(b) To prolong expiration, keep airways open, and reduce air trapping</w:t>
      </w:r>
    </w:p>
    <w:p>
      <w:pPr>
        <w:spacing w:after="0" w:before="0"/>
      </w:pPr>
      <w:r>
        <w:rPr>
          <w:b w:val="0"/>
          <w:i w:val="0"/>
          <w:sz w:val="22"/>
        </w:rPr>
        <w:t>(c) To strengthen the diaphragm during inspiration</w:t>
      </w:r>
    </w:p>
    <w:p>
      <w:pPr>
        <w:spacing w:after="0" w:before="0"/>
      </w:pPr>
      <w:r>
        <w:rPr>
          <w:b w:val="0"/>
          <w:i w:val="0"/>
          <w:sz w:val="22"/>
        </w:rPr>
        <w:t>(d) To clear secretions from the lower airways</w:t>
      </w:r>
    </w:p>
    <w:p>
      <w:pPr>
        <w:spacing w:after="0" w:before="40"/>
      </w:pPr>
      <w:r>
        <w:rPr>
          <w:b/>
          <w:i w:val="0"/>
          <w:sz w:val="22"/>
        </w:rPr>
        <w:t>Answer: b</w:t>
      </w:r>
    </w:p>
    <w:p>
      <w:pPr>
        <w:spacing w:after="0" w:before="0"/>
      </w:pPr>
      <w:r>
        <w:rPr>
          <w:b w:val="0"/>
          <w:i w:val="0"/>
          <w:sz w:val="21"/>
        </w:rPr>
        <w:t>Solution: Pursed-lip breathing creates back-pressure that keeps small airways open longer during expiration, prolonging expiration, reducing air trapping and dyspnea. It does not change the oxygen concentration of inspired air.</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diabetic ketoacidosis is breathing deeply and rapidly with a fruity odor on the breath. Which acid-base imbalance is most consistent with these findings?</w:t>
      </w:r>
    </w:p>
    <w:p>
      <w:pPr>
        <w:spacing w:after="0" w:before="0"/>
      </w:pPr>
      <w:r>
        <w:rPr>
          <w:b w:val="0"/>
          <w:i w:val="0"/>
          <w:sz w:val="22"/>
        </w:rPr>
        <w:t>(a) Respiratory acidosis</w:t>
      </w:r>
    </w:p>
    <w:p>
      <w:pPr>
        <w:spacing w:after="0" w:before="0"/>
      </w:pPr>
      <w:r>
        <w:rPr>
          <w:b w:val="0"/>
          <w:i w:val="0"/>
          <w:sz w:val="22"/>
        </w:rPr>
        <w:t>(b) Metabolic acidosis</w:t>
      </w:r>
    </w:p>
    <w:p>
      <w:pPr>
        <w:spacing w:after="0" w:before="0"/>
      </w:pPr>
      <w:r>
        <w:rPr>
          <w:b w:val="0"/>
          <w:i w:val="0"/>
          <w:sz w:val="22"/>
        </w:rPr>
        <w:t>(c) Respiratory alkalosis</w:t>
      </w:r>
    </w:p>
    <w:p>
      <w:pPr>
        <w:spacing w:after="0" w:before="0"/>
      </w:pPr>
      <w:r>
        <w:rPr>
          <w:b w:val="0"/>
          <w:i w:val="0"/>
          <w:sz w:val="22"/>
        </w:rPr>
        <w:t>(d) Metabolic alkalosis</w:t>
      </w:r>
    </w:p>
    <w:p>
      <w:pPr>
        <w:spacing w:after="0" w:before="40"/>
      </w:pPr>
      <w:r>
        <w:rPr>
          <w:b/>
          <w:i w:val="0"/>
          <w:sz w:val="22"/>
        </w:rPr>
        <w:t>Answer: b</w:t>
      </w:r>
    </w:p>
    <w:p>
      <w:pPr>
        <w:spacing w:after="0" w:before="0"/>
      </w:pPr>
      <w:r>
        <w:rPr>
          <w:b w:val="0"/>
          <w:i w:val="0"/>
          <w:sz w:val="21"/>
        </w:rPr>
        <w:t>Solution: DKA produces metabolic acidosis from ketone accumulation; Kussmaul respirations (deep, rapid breathing) are a compensatory attempt to blow off CO2, and the fruity odor comes from acetone. This is metabolic acidosis with respiratory compensation.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with peripheral arterial disease reports calf pain while walking that is relieved by rest. This symptom is known as:</w:t>
      </w:r>
    </w:p>
    <w:p>
      <w:pPr>
        <w:spacing w:after="0" w:before="0"/>
      </w:pPr>
      <w:r>
        <w:rPr>
          <w:b w:val="0"/>
          <w:i w:val="0"/>
          <w:sz w:val="22"/>
        </w:rPr>
        <w:t>(a) Rest pain</w:t>
      </w:r>
    </w:p>
    <w:p>
      <w:pPr>
        <w:spacing w:after="0" w:before="0"/>
      </w:pPr>
      <w:r>
        <w:rPr>
          <w:b w:val="0"/>
          <w:i w:val="0"/>
          <w:sz w:val="22"/>
        </w:rPr>
        <w:t>(b) Intermittent claudication</w:t>
      </w:r>
    </w:p>
    <w:p>
      <w:pPr>
        <w:spacing w:after="0" w:before="0"/>
      </w:pPr>
      <w:r>
        <w:rPr>
          <w:b w:val="0"/>
          <w:i w:val="0"/>
          <w:sz w:val="22"/>
        </w:rPr>
        <w:t>(c) Paresthesia</w:t>
      </w:r>
    </w:p>
    <w:p>
      <w:pPr>
        <w:spacing w:after="0" w:before="0"/>
      </w:pPr>
      <w:r>
        <w:rPr>
          <w:b w:val="0"/>
          <w:i w:val="0"/>
          <w:sz w:val="22"/>
        </w:rPr>
        <w:t>(d) Raynaud phenomenon</w:t>
      </w:r>
    </w:p>
    <w:p>
      <w:pPr>
        <w:spacing w:after="0" w:before="40"/>
      </w:pPr>
      <w:r>
        <w:rPr>
          <w:b/>
          <w:i w:val="0"/>
          <w:sz w:val="22"/>
        </w:rPr>
        <w:t>Answer: b</w:t>
      </w:r>
    </w:p>
    <w:p>
      <w:pPr>
        <w:spacing w:after="0" w:before="0"/>
      </w:pPr>
      <w:r>
        <w:rPr>
          <w:b w:val="0"/>
          <w:i w:val="0"/>
          <w:sz w:val="21"/>
        </w:rPr>
        <w:t>Solution: Intermittent claudication is ischemic muscle pain with exercise, relieved by rest, due to inadequate arterial blood flow. Rest pain indicates severe disease; paresthesia is a sensory symptom; Raynaud is vasospasm of digits.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instruction is correct for a client preparing to have a fecal occult blood test (FOBT) for colorectal cancer screening?</w:t>
      </w:r>
    </w:p>
    <w:p>
      <w:pPr>
        <w:spacing w:after="0" w:before="0"/>
      </w:pPr>
      <w:r>
        <w:rPr>
          <w:b w:val="0"/>
          <w:i w:val="0"/>
          <w:sz w:val="22"/>
        </w:rPr>
        <w:t>(a) Eat a high-fiber, low-fat diet for 3 days before the test</w:t>
      </w:r>
    </w:p>
    <w:p>
      <w:pPr>
        <w:spacing w:after="0" w:before="0"/>
      </w:pPr>
      <w:r>
        <w:rPr>
          <w:b w:val="0"/>
          <w:i w:val="0"/>
          <w:sz w:val="22"/>
        </w:rPr>
        <w:t>(b) Avoid red meat, aspirin, and vitamin C for several days before the test</w:t>
      </w:r>
    </w:p>
    <w:p>
      <w:pPr>
        <w:spacing w:after="0" w:before="0"/>
      </w:pPr>
      <w:r>
        <w:rPr>
          <w:b w:val="0"/>
          <w:i w:val="0"/>
          <w:sz w:val="22"/>
        </w:rPr>
        <w:t>(c) Take iron supplements to improve the test</w:t>
      </w:r>
    </w:p>
    <w:p>
      <w:pPr>
        <w:spacing w:after="0" w:before="0"/>
      </w:pPr>
      <w:r>
        <w:rPr>
          <w:b w:val="0"/>
          <w:i w:val="0"/>
          <w:sz w:val="22"/>
        </w:rPr>
        <w:t>(d) Collect the specimen after a laxative purge</w:t>
      </w:r>
    </w:p>
    <w:p>
      <w:pPr>
        <w:spacing w:after="0" w:before="40"/>
      </w:pPr>
      <w:r>
        <w:rPr>
          <w:b/>
          <w:i w:val="0"/>
          <w:sz w:val="22"/>
        </w:rPr>
        <w:t>Answer: b</w:t>
      </w:r>
    </w:p>
    <w:p>
      <w:pPr>
        <w:spacing w:after="0" w:before="0"/>
      </w:pPr>
      <w:r>
        <w:rPr>
          <w:b w:val="0"/>
          <w:i w:val="0"/>
          <w:sz w:val="21"/>
        </w:rPr>
        <w:t>Solution: Before FOBT, clients should avoid red meat, aspirin/NSAIDs, and vitamin C for several days because they can cause false-positive or false-negative results. The test detects hidden blood in stool and needs no laxative purge.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action is correct when the nurse applies sterile gloves?</w:t>
      </w:r>
    </w:p>
    <w:p>
      <w:pPr>
        <w:spacing w:after="0" w:before="0"/>
      </w:pPr>
      <w:r>
        <w:rPr>
          <w:b w:val="0"/>
          <w:i w:val="0"/>
          <w:sz w:val="22"/>
        </w:rPr>
        <w:t>(a) Keep the gloved hands below waist level</w:t>
      </w:r>
    </w:p>
    <w:p>
      <w:pPr>
        <w:spacing w:after="0" w:before="0"/>
      </w:pPr>
      <w:r>
        <w:rPr>
          <w:b w:val="0"/>
          <w:i w:val="0"/>
          <w:sz w:val="22"/>
        </w:rPr>
        <w:t>(b) Keep the gloved hands above waist level and in view</w:t>
      </w:r>
    </w:p>
    <w:p>
      <w:pPr>
        <w:spacing w:after="0" w:before="0"/>
      </w:pPr>
      <w:r>
        <w:rPr>
          <w:b w:val="0"/>
          <w:i w:val="0"/>
          <w:sz w:val="22"/>
        </w:rPr>
        <w:t>(c) Touch the sterile field with bare fingers to adjust it</w:t>
      </w:r>
    </w:p>
    <w:p>
      <w:pPr>
        <w:spacing w:after="0" w:before="0"/>
      </w:pPr>
      <w:r>
        <w:rPr>
          <w:b w:val="0"/>
          <w:i w:val="0"/>
          <w:sz w:val="22"/>
        </w:rPr>
        <w:t>(d) Blow into the gloves to inflate them</w:t>
      </w:r>
    </w:p>
    <w:p>
      <w:pPr>
        <w:spacing w:after="0" w:before="40"/>
      </w:pPr>
      <w:r>
        <w:rPr>
          <w:b/>
          <w:i w:val="0"/>
          <w:sz w:val="22"/>
        </w:rPr>
        <w:t>Answer: b</w:t>
      </w:r>
    </w:p>
    <w:p>
      <w:pPr>
        <w:spacing w:after="0" w:before="0"/>
      </w:pPr>
      <w:r>
        <w:rPr>
          <w:b w:val="0"/>
          <w:i w:val="0"/>
          <w:sz w:val="21"/>
        </w:rPr>
        <w:t>Solution: Sterile gloves must be kept above waist level and in the line of vision to maintain sterility; below-waist surfaces are considered contaminated. Bare fingers never touch the sterile field, and blowing into gloves is unsterile.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action is correct when placing a client on a bedpan?</w:t>
      </w:r>
    </w:p>
    <w:p>
      <w:pPr>
        <w:spacing w:after="0" w:before="0"/>
      </w:pPr>
      <w:r>
        <w:rPr>
          <w:b w:val="0"/>
          <w:i w:val="0"/>
          <w:sz w:val="22"/>
        </w:rPr>
        <w:t>(a) Keep the bed flat and log-roll the client onto the bedpan</w:t>
      </w:r>
    </w:p>
    <w:p>
      <w:pPr>
        <w:spacing w:after="0" w:before="0"/>
      </w:pPr>
      <w:r>
        <w:rPr>
          <w:b w:val="0"/>
          <w:i w:val="0"/>
          <w:sz w:val="22"/>
        </w:rPr>
        <w:t>(b) Raise the head of the bed to a semi-Fowler position and check that the bedpan is positioned correctly</w:t>
      </w:r>
    </w:p>
    <w:p>
      <w:pPr>
        <w:spacing w:after="0" w:before="0"/>
      </w:pPr>
      <w:r>
        <w:rPr>
          <w:b w:val="0"/>
          <w:i w:val="0"/>
          <w:sz w:val="22"/>
        </w:rPr>
        <w:t>(c) Place the bedpan while the client stands</w:t>
      </w:r>
    </w:p>
    <w:p>
      <w:pPr>
        <w:spacing w:after="0" w:before="0"/>
      </w:pPr>
      <w:r>
        <w:rPr>
          <w:b w:val="0"/>
          <w:i w:val="0"/>
          <w:sz w:val="22"/>
        </w:rPr>
        <w:t>(d) Leave the client unattended for 30 minutes</w:t>
      </w:r>
    </w:p>
    <w:p>
      <w:pPr>
        <w:spacing w:after="0" w:before="40"/>
      </w:pPr>
      <w:r>
        <w:rPr>
          <w:b/>
          <w:i w:val="0"/>
          <w:sz w:val="22"/>
        </w:rPr>
        <w:t>Answer: b</w:t>
      </w:r>
    </w:p>
    <w:p>
      <w:pPr>
        <w:spacing w:after="0" w:before="0"/>
      </w:pPr>
      <w:r>
        <w:rPr>
          <w:b w:val="0"/>
          <w:i w:val="0"/>
          <w:sz w:val="21"/>
        </w:rPr>
        <w:t>Solution: The head of the bed is raised (semi-Fowler) for comfort and to aid elimination, and the bedpan must be checked for correct placement and the client's comfort. Clients at risk of falling should not be left unattended.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findings should the nurse teach a pregnant client to report as possible signs of preterm labor before 37 weeks?</w:t>
      </w:r>
    </w:p>
    <w:p>
      <w:pPr>
        <w:spacing w:after="0" w:before="0"/>
      </w:pPr>
      <w:r>
        <w:rPr>
          <w:b w:val="0"/>
          <w:i w:val="0"/>
          <w:sz w:val="22"/>
        </w:rPr>
        <w:t>(a) Low backache, pelvic pressure, and regular uterine contractions</w:t>
      </w:r>
    </w:p>
    <w:p>
      <w:pPr>
        <w:spacing w:after="0" w:before="0"/>
      </w:pPr>
      <w:r>
        <w:rPr>
          <w:b w:val="0"/>
          <w:i w:val="0"/>
          <w:sz w:val="22"/>
        </w:rPr>
        <w:t>(b) Mild round ligament pain with position change</w:t>
      </w:r>
    </w:p>
    <w:p>
      <w:pPr>
        <w:spacing w:after="0" w:before="0"/>
      </w:pPr>
      <w:r>
        <w:rPr>
          <w:b w:val="0"/>
          <w:i w:val="0"/>
          <w:sz w:val="22"/>
        </w:rPr>
        <w:t>(c) Braxton Hicks contractions that stop with walking</w:t>
      </w:r>
    </w:p>
    <w:p>
      <w:pPr>
        <w:spacing w:after="0" w:before="0"/>
      </w:pPr>
      <w:r>
        <w:rPr>
          <w:b w:val="0"/>
          <w:i w:val="0"/>
          <w:sz w:val="22"/>
        </w:rPr>
        <w:t>(d) Increased vaginal discharge without cramps</w:t>
      </w:r>
    </w:p>
    <w:p>
      <w:pPr>
        <w:spacing w:after="0" w:before="40"/>
      </w:pPr>
      <w:r>
        <w:rPr>
          <w:b/>
          <w:i w:val="0"/>
          <w:sz w:val="22"/>
        </w:rPr>
        <w:t>Answer: a</w:t>
      </w:r>
    </w:p>
    <w:p>
      <w:pPr>
        <w:spacing w:after="0" w:before="0"/>
      </w:pPr>
      <w:r>
        <w:rPr>
          <w:b w:val="0"/>
          <w:i w:val="0"/>
          <w:sz w:val="21"/>
        </w:rPr>
        <w:t>Solution: Persistent low backache, pelvic pressure, menstrual-like cramps, and regular contractions before 37 weeks suggest preterm labor and require prompt evaluation. Round ligament pain and Braxton Hicks contractions are benign and non-progressive.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During assessment, the nurse suspects spontaneous rupture of membranes when nitrazine paper applied to vaginal fluid turns:</w:t>
      </w:r>
    </w:p>
    <w:p>
      <w:pPr>
        <w:spacing w:after="0" w:before="0"/>
      </w:pPr>
      <w:r>
        <w:rPr>
          <w:b w:val="0"/>
          <w:i w:val="0"/>
          <w:sz w:val="22"/>
        </w:rPr>
        <w:t>(a) Yellow, indicating acidic fluid</w:t>
      </w:r>
    </w:p>
    <w:p>
      <w:pPr>
        <w:spacing w:after="0" w:before="0"/>
      </w:pPr>
      <w:r>
        <w:rPr>
          <w:b w:val="0"/>
          <w:i w:val="0"/>
          <w:sz w:val="22"/>
        </w:rPr>
        <w:t>(b) Blue, indicating alkaline amniotic fluid</w:t>
      </w:r>
    </w:p>
    <w:p>
      <w:pPr>
        <w:spacing w:after="0" w:before="0"/>
      </w:pPr>
      <w:r>
        <w:rPr>
          <w:b w:val="0"/>
          <w:i w:val="0"/>
          <w:sz w:val="22"/>
        </w:rPr>
        <w:t>(c) Pink, indicating blood</w:t>
      </w:r>
    </w:p>
    <w:p>
      <w:pPr>
        <w:spacing w:after="0" w:before="0"/>
      </w:pPr>
      <w:r>
        <w:rPr>
          <w:b w:val="0"/>
          <w:i w:val="0"/>
          <w:sz w:val="22"/>
        </w:rPr>
        <w:t>(d) Red, indicating infection</w:t>
      </w:r>
    </w:p>
    <w:p>
      <w:pPr>
        <w:spacing w:after="0" w:before="40"/>
      </w:pPr>
      <w:r>
        <w:rPr>
          <w:b/>
          <w:i w:val="0"/>
          <w:sz w:val="22"/>
        </w:rPr>
        <w:t>Answer: b</w:t>
      </w:r>
    </w:p>
    <w:p>
      <w:pPr>
        <w:spacing w:after="0" w:before="0"/>
      </w:pPr>
      <w:r>
        <w:rPr>
          <w:b w:val="0"/>
          <w:i w:val="0"/>
          <w:sz w:val="21"/>
        </w:rPr>
        <w:t>Solution: Amniotic fluid is alkaline, so nitrazine paper turns blue (pH 7.0-7.5), whereas normal vaginal secretions are acidic (pH 4.5-5.5) and leave the paper yellow. Nitrazine positivity supports membrane rupture.</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 suddenly loses the ability to walk after witnessing a traumatic event, but all neurologic and diagnostic tests are normal. Which disorder is most likely?</w:t>
      </w:r>
    </w:p>
    <w:p>
      <w:pPr>
        <w:spacing w:after="0" w:before="0"/>
      </w:pPr>
      <w:r>
        <w:rPr>
          <w:b w:val="0"/>
          <w:i w:val="0"/>
          <w:sz w:val="22"/>
        </w:rPr>
        <w:t>(a) Conversion disorder</w:t>
      </w:r>
    </w:p>
    <w:p>
      <w:pPr>
        <w:spacing w:after="0" w:before="0"/>
      </w:pPr>
      <w:r>
        <w:rPr>
          <w:b w:val="0"/>
          <w:i w:val="0"/>
          <w:sz w:val="22"/>
        </w:rPr>
        <w:t>(b) Somatic symptom disorder</w:t>
      </w:r>
    </w:p>
    <w:p>
      <w:pPr>
        <w:spacing w:after="0" w:before="0"/>
      </w:pPr>
      <w:r>
        <w:rPr>
          <w:b w:val="0"/>
          <w:i w:val="0"/>
          <w:sz w:val="22"/>
        </w:rPr>
        <w:t>(c) Malingering</w:t>
      </w:r>
    </w:p>
    <w:p>
      <w:pPr>
        <w:spacing w:after="0" w:before="0"/>
      </w:pPr>
      <w:r>
        <w:rPr>
          <w:b w:val="0"/>
          <w:i w:val="0"/>
          <w:sz w:val="22"/>
        </w:rPr>
        <w:t>(d) Panic disorder</w:t>
      </w:r>
    </w:p>
    <w:p>
      <w:pPr>
        <w:spacing w:after="0" w:before="40"/>
      </w:pPr>
      <w:r>
        <w:rPr>
          <w:b/>
          <w:i w:val="0"/>
          <w:sz w:val="22"/>
        </w:rPr>
        <w:t>Answer: a</w:t>
      </w:r>
    </w:p>
    <w:p>
      <w:pPr>
        <w:spacing w:after="0" w:before="0"/>
      </w:pPr>
      <w:r>
        <w:rPr>
          <w:b w:val="0"/>
          <w:i w:val="0"/>
          <w:sz w:val="21"/>
        </w:rPr>
        <w:t>Solution: Conversion disorder (functional neurologic symptom disorder) presents with neurologic symptoms (paralysis, blindness, seizures) that are incompatible with medical findings and often follow stress or conflict. In malingering there is conscious intent to gain an external reward.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client's speech jumps rapidly from one unrelated topic to another within seconds. This speech pattern is best described as:</w:t>
      </w:r>
    </w:p>
    <w:p>
      <w:pPr>
        <w:spacing w:after="0" w:before="0"/>
      </w:pPr>
      <w:r>
        <w:rPr>
          <w:b w:val="0"/>
          <w:i w:val="0"/>
          <w:sz w:val="22"/>
        </w:rPr>
        <w:t>(a) Circumstantiality</w:t>
      </w:r>
    </w:p>
    <w:p>
      <w:pPr>
        <w:spacing w:after="0" w:before="0"/>
      </w:pPr>
      <w:r>
        <w:rPr>
          <w:b w:val="0"/>
          <w:i w:val="0"/>
          <w:sz w:val="22"/>
        </w:rPr>
        <w:t>(b) Flight of ideas</w:t>
      </w:r>
    </w:p>
    <w:p>
      <w:pPr>
        <w:spacing w:after="0" w:before="0"/>
      </w:pPr>
      <w:r>
        <w:rPr>
          <w:b w:val="0"/>
          <w:i w:val="0"/>
          <w:sz w:val="22"/>
        </w:rPr>
        <w:t>(c) Word salad</w:t>
      </w:r>
    </w:p>
    <w:p>
      <w:pPr>
        <w:spacing w:after="0" w:before="0"/>
      </w:pPr>
      <w:r>
        <w:rPr>
          <w:b w:val="0"/>
          <w:i w:val="0"/>
          <w:sz w:val="22"/>
        </w:rPr>
        <w:t>(d) Echolalia</w:t>
      </w:r>
    </w:p>
    <w:p>
      <w:pPr>
        <w:spacing w:after="0" w:before="40"/>
      </w:pPr>
      <w:r>
        <w:rPr>
          <w:b/>
          <w:i w:val="0"/>
          <w:sz w:val="22"/>
        </w:rPr>
        <w:t>Answer: b</w:t>
      </w:r>
    </w:p>
    <w:p>
      <w:pPr>
        <w:spacing w:after="0" w:before="0"/>
      </w:pPr>
      <w:r>
        <w:rPr>
          <w:b w:val="0"/>
          <w:i w:val="0"/>
          <w:sz w:val="21"/>
        </w:rPr>
        <w:t>Solution: Flight of ideas is a rapid shift of topics with only superficial connections, typical of mania. Circumstantiality includes excessive detail before reaching the point; word salad is incoherent jumbled speech; echolalia is repetition of others' words.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vaccines are due at 14 weeks of age under the national immunization schedule?</w:t>
      </w:r>
    </w:p>
    <w:p>
      <w:pPr>
        <w:spacing w:after="0" w:before="0"/>
      </w:pPr>
      <w:r>
        <w:rPr>
          <w:b w:val="0"/>
          <w:i w:val="0"/>
          <w:sz w:val="22"/>
        </w:rPr>
        <w:t>(a) BCG and OPV-0</w:t>
      </w:r>
    </w:p>
    <w:p>
      <w:pPr>
        <w:spacing w:after="0" w:before="0"/>
      </w:pPr>
      <w:r>
        <w:rPr>
          <w:b w:val="0"/>
          <w:i w:val="0"/>
          <w:sz w:val="22"/>
        </w:rPr>
        <w:t>(b) DPT-2, OPV-2, and IPV-2</w:t>
      </w:r>
    </w:p>
    <w:p>
      <w:pPr>
        <w:spacing w:after="0" w:before="0"/>
      </w:pPr>
      <w:r>
        <w:rPr>
          <w:b w:val="0"/>
          <w:i w:val="0"/>
          <w:sz w:val="22"/>
        </w:rPr>
        <w:t>(c) DPT-3, OPV-3, and IPV-3</w:t>
      </w:r>
    </w:p>
    <w:p>
      <w:pPr>
        <w:spacing w:after="0" w:before="0"/>
      </w:pPr>
      <w:r>
        <w:rPr>
          <w:b w:val="0"/>
          <w:i w:val="0"/>
          <w:sz w:val="22"/>
        </w:rPr>
        <w:t>(d) Measles and rubella</w:t>
      </w:r>
    </w:p>
    <w:p>
      <w:pPr>
        <w:spacing w:after="0" w:before="40"/>
      </w:pPr>
      <w:r>
        <w:rPr>
          <w:b/>
          <w:i w:val="0"/>
          <w:sz w:val="22"/>
        </w:rPr>
        <w:t>Answer: b</w:t>
      </w:r>
    </w:p>
    <w:p>
      <w:pPr>
        <w:spacing w:after="0" w:before="0"/>
      </w:pPr>
      <w:r>
        <w:rPr>
          <w:b w:val="0"/>
          <w:i w:val="0"/>
          <w:sz w:val="21"/>
        </w:rPr>
        <w:t>Solution: At 14 weeks (the third contact), the child receives the second boosters: DPT-2, OPV-2, and IPV-2 (HepB-2 where applicable). BCG/OPV-0 are given at birth, DPT-1/OPV-1/IPV-1 at 6 weeks, and measles-rubella at 9-12 months.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is the most effective measure to prevent accidental poisoning in a toddler at home?</w:t>
      </w:r>
    </w:p>
    <w:p>
      <w:pPr>
        <w:spacing w:after="0" w:before="0"/>
      </w:pPr>
      <w:r>
        <w:rPr>
          <w:b w:val="0"/>
          <w:i w:val="0"/>
          <w:sz w:val="22"/>
        </w:rPr>
        <w:t>(a) Storing medicines and household chemicals out of reach in locked cabinets</w:t>
      </w:r>
    </w:p>
    <w:p>
      <w:pPr>
        <w:spacing w:after="0" w:before="0"/>
      </w:pPr>
      <w:r>
        <w:rPr>
          <w:b w:val="0"/>
          <w:i w:val="0"/>
          <w:sz w:val="22"/>
        </w:rPr>
        <w:t>(b) Teaching the child to read labels</w:t>
      </w:r>
    </w:p>
    <w:p>
      <w:pPr>
        <w:spacing w:after="0" w:before="0"/>
      </w:pPr>
      <w:r>
        <w:rPr>
          <w:b w:val="0"/>
          <w:i w:val="0"/>
          <w:sz w:val="22"/>
        </w:rPr>
        <w:t>(c) Keeping the poison control number hidden</w:t>
      </w:r>
    </w:p>
    <w:p>
      <w:pPr>
        <w:spacing w:after="0" w:before="0"/>
      </w:pPr>
      <w:r>
        <w:rPr>
          <w:b w:val="0"/>
          <w:i w:val="0"/>
          <w:sz w:val="22"/>
        </w:rPr>
        <w:t>(d) Giving syrup of ipecac routinely</w:t>
      </w:r>
    </w:p>
    <w:p>
      <w:pPr>
        <w:spacing w:after="0" w:before="40"/>
      </w:pPr>
      <w:r>
        <w:rPr>
          <w:b/>
          <w:i w:val="0"/>
          <w:sz w:val="22"/>
        </w:rPr>
        <w:t>Answer: a</w:t>
      </w:r>
    </w:p>
    <w:p>
      <w:pPr>
        <w:spacing w:after="0" w:before="0"/>
      </w:pPr>
      <w:r>
        <w:rPr>
          <w:b w:val="0"/>
          <w:i w:val="0"/>
          <w:sz w:val="21"/>
        </w:rPr>
        <w:t>Solution: Primary prevention of childhood poisoning is storing medications, cleaning agents, and chemicals in locked, elevated cabinets out of a toddler's reach. Label reading is beyond a toddler's ability; ipecac is no longer recommended.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measure most effectively prevents fecal-oral transmission of disease in a rural community?</w:t>
      </w:r>
    </w:p>
    <w:p>
      <w:pPr>
        <w:spacing w:after="0" w:before="0"/>
      </w:pPr>
      <w:r>
        <w:rPr>
          <w:b w:val="0"/>
          <w:i w:val="0"/>
          <w:sz w:val="22"/>
        </w:rPr>
        <w:t>(a) Use of sanitary latrines and safe disposal of excreta</w:t>
      </w:r>
    </w:p>
    <w:p>
      <w:pPr>
        <w:spacing w:after="0" w:before="0"/>
      </w:pPr>
      <w:r>
        <w:rPr>
          <w:b w:val="0"/>
          <w:i w:val="0"/>
          <w:sz w:val="22"/>
        </w:rPr>
        <w:t>(b) Spraying insecticides indoors</w:t>
      </w:r>
    </w:p>
    <w:p>
      <w:pPr>
        <w:spacing w:after="0" w:before="0"/>
      </w:pPr>
      <w:r>
        <w:rPr>
          <w:b w:val="0"/>
          <w:i w:val="0"/>
          <w:sz w:val="22"/>
        </w:rPr>
        <w:t>(c) Boiling all drinking water only during floods</w:t>
      </w:r>
    </w:p>
    <w:p>
      <w:pPr>
        <w:spacing w:after="0" w:before="0"/>
      </w:pPr>
      <w:r>
        <w:rPr>
          <w:b w:val="0"/>
          <w:i w:val="0"/>
          <w:sz w:val="22"/>
        </w:rPr>
        <w:t>(d) Mass chemoprophylaxis</w:t>
      </w:r>
    </w:p>
    <w:p>
      <w:pPr>
        <w:spacing w:after="0" w:before="40"/>
      </w:pPr>
      <w:r>
        <w:rPr>
          <w:b/>
          <w:i w:val="0"/>
          <w:sz w:val="22"/>
        </w:rPr>
        <w:t>Answer: a</w:t>
      </w:r>
    </w:p>
    <w:p>
      <w:pPr>
        <w:spacing w:after="0" w:before="0"/>
      </w:pPr>
      <w:r>
        <w:rPr>
          <w:b w:val="0"/>
          <w:i w:val="0"/>
          <w:sz w:val="21"/>
        </w:rPr>
        <w:t>Solution: Safe excreta disposal through sanitary latrines interrupts the fecal-oral chain, preventing cholera, typhoid, hepatitis A, and worm infections. Insecticides target vectors, and chemoprophylaxis does not address sanitation.</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public-health measure is most effective for preventing iodine-deficiency disorders in a community?</w:t>
      </w:r>
    </w:p>
    <w:p>
      <w:pPr>
        <w:spacing w:after="0" w:before="0"/>
      </w:pPr>
      <w:r>
        <w:rPr>
          <w:b w:val="0"/>
          <w:i w:val="0"/>
          <w:sz w:val="22"/>
        </w:rPr>
        <w:t>(a) Universal iodization of salt</w:t>
      </w:r>
    </w:p>
    <w:p>
      <w:pPr>
        <w:spacing w:after="0" w:before="0"/>
      </w:pPr>
      <w:r>
        <w:rPr>
          <w:b w:val="0"/>
          <w:i w:val="0"/>
          <w:sz w:val="22"/>
        </w:rPr>
        <w:t>(b) Fortification of bread with iron</w:t>
      </w:r>
    </w:p>
    <w:p>
      <w:pPr>
        <w:spacing w:after="0" w:before="0"/>
      </w:pPr>
      <w:r>
        <w:rPr>
          <w:b w:val="0"/>
          <w:i w:val="0"/>
          <w:sz w:val="22"/>
        </w:rPr>
        <w:t>(c) Vitamin A supplementation</w:t>
      </w:r>
    </w:p>
    <w:p>
      <w:pPr>
        <w:spacing w:after="0" w:before="0"/>
      </w:pPr>
      <w:r>
        <w:rPr>
          <w:b w:val="0"/>
          <w:i w:val="0"/>
          <w:sz w:val="22"/>
        </w:rPr>
        <w:t>(d) Mass deworming</w:t>
      </w:r>
    </w:p>
    <w:p>
      <w:pPr>
        <w:spacing w:after="0" w:before="40"/>
      </w:pPr>
      <w:r>
        <w:rPr>
          <w:b/>
          <w:i w:val="0"/>
          <w:sz w:val="22"/>
        </w:rPr>
        <w:t>Answer: a</w:t>
      </w:r>
    </w:p>
    <w:p>
      <w:pPr>
        <w:spacing w:after="0" w:before="0"/>
      </w:pPr>
      <w:r>
        <w:rPr>
          <w:b w:val="0"/>
          <w:i w:val="0"/>
          <w:sz w:val="21"/>
        </w:rPr>
        <w:t>Solution: Universal salt iodization is the most effective, sustainable strategy to prevent iodine-deficiency disorders (goiter, cretinism, hypothyroidism). Iron fortification, vitamin A, and deworming address other deficiencies.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of the following is a recognized high-risk factor in pregnancy that requires referral to a higher facility?</w:t>
      </w:r>
    </w:p>
    <w:p>
      <w:pPr>
        <w:spacing w:after="0" w:before="0"/>
      </w:pPr>
      <w:r>
        <w:rPr>
          <w:b w:val="0"/>
          <w:i w:val="0"/>
          <w:sz w:val="22"/>
        </w:rPr>
        <w:t>(a) Maternal age above 35 years</w:t>
      </w:r>
    </w:p>
    <w:p>
      <w:pPr>
        <w:spacing w:after="0" w:before="0"/>
      </w:pPr>
      <w:r>
        <w:rPr>
          <w:b w:val="0"/>
          <w:i w:val="0"/>
          <w:sz w:val="22"/>
        </w:rPr>
        <w:t>(b) Primigravida at 22 years</w:t>
      </w:r>
    </w:p>
    <w:p>
      <w:pPr>
        <w:spacing w:after="0" w:before="0"/>
      </w:pPr>
      <w:r>
        <w:rPr>
          <w:b w:val="0"/>
          <w:i w:val="0"/>
          <w:sz w:val="22"/>
        </w:rPr>
        <w:t>(c) Previous normal vaginal delivery</w:t>
      </w:r>
    </w:p>
    <w:p>
      <w:pPr>
        <w:spacing w:after="0" w:before="0"/>
      </w:pPr>
      <w:r>
        <w:rPr>
          <w:b w:val="0"/>
          <w:i w:val="0"/>
          <w:sz w:val="22"/>
        </w:rPr>
        <w:t>(d) Height above 150 cm</w:t>
      </w:r>
    </w:p>
    <w:p>
      <w:pPr>
        <w:spacing w:after="0" w:before="40"/>
      </w:pPr>
      <w:r>
        <w:rPr>
          <w:b/>
          <w:i w:val="0"/>
          <w:sz w:val="22"/>
        </w:rPr>
        <w:t>Answer: a</w:t>
      </w:r>
    </w:p>
    <w:p>
      <w:pPr>
        <w:spacing w:after="0" w:before="0"/>
      </w:pPr>
      <w:r>
        <w:rPr>
          <w:b w:val="0"/>
          <w:i w:val="0"/>
          <w:sz w:val="21"/>
        </w:rPr>
        <w:t>Solution: Maternal age above 35 years (and below 18), previous LSCS, twin pregnancy, anemia, and pregnancy-induced hypertension are high-risk factors warranting referral and closer antenatal surveillance. A healthy 22-year-old primigravida of normal height is low-risk.</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Under the standard antenatal care schedule, how many antenatal visits are recommended for a low-risk pregnancy?</w:t>
      </w:r>
    </w:p>
    <w:p>
      <w:pPr>
        <w:spacing w:after="0" w:before="0"/>
      </w:pPr>
      <w:r>
        <w:rPr>
          <w:b w:val="0"/>
          <w:i w:val="0"/>
          <w:sz w:val="22"/>
        </w:rPr>
        <w:t>(a) Two visits</w:t>
      </w:r>
    </w:p>
    <w:p>
      <w:pPr>
        <w:spacing w:after="0" w:before="0"/>
      </w:pPr>
      <w:r>
        <w:rPr>
          <w:b w:val="0"/>
          <w:i w:val="0"/>
          <w:sz w:val="22"/>
        </w:rPr>
        <w:t>(b) Four visits</w:t>
      </w:r>
    </w:p>
    <w:p>
      <w:pPr>
        <w:spacing w:after="0" w:before="0"/>
      </w:pPr>
      <w:r>
        <w:rPr>
          <w:b w:val="0"/>
          <w:i w:val="0"/>
          <w:sz w:val="22"/>
        </w:rPr>
        <w:t>(c) Six visits</w:t>
      </w:r>
    </w:p>
    <w:p>
      <w:pPr>
        <w:spacing w:after="0" w:before="0"/>
      </w:pPr>
      <w:r>
        <w:rPr>
          <w:b w:val="0"/>
          <w:i w:val="0"/>
          <w:sz w:val="22"/>
        </w:rPr>
        <w:t>(d) Ten visits</w:t>
      </w:r>
    </w:p>
    <w:p>
      <w:pPr>
        <w:spacing w:after="0" w:before="40"/>
      </w:pPr>
      <w:r>
        <w:rPr>
          <w:b/>
          <w:i w:val="0"/>
          <w:sz w:val="22"/>
        </w:rPr>
        <w:t>Answer: b</w:t>
      </w:r>
    </w:p>
    <w:p>
      <w:pPr>
        <w:spacing w:after="0" w:before="0"/>
      </w:pPr>
      <w:r>
        <w:rPr>
          <w:b w:val="0"/>
          <w:i w:val="0"/>
          <w:sz w:val="21"/>
        </w:rPr>
        <w:t>Solution: WHO and national guidelines recommend at least 4 antenatal visits for a low-risk pregnancy (booking by 12-16 weeks, then at intervals), though more frequent visits are advised for high-risk mothers. Four visits remain the accepted minimum.</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The family, with its close and intimate face-to-face relationships, is the classic example of which type of group?</w:t>
      </w:r>
    </w:p>
    <w:p>
      <w:pPr>
        <w:spacing w:after="0" w:before="0"/>
      </w:pPr>
      <w:r>
        <w:rPr>
          <w:b w:val="0"/>
          <w:i w:val="0"/>
          <w:sz w:val="22"/>
        </w:rPr>
        <w:t>(a) Family</w:t>
      </w:r>
    </w:p>
    <w:p>
      <w:pPr>
        <w:spacing w:after="0" w:before="0"/>
      </w:pPr>
      <w:r>
        <w:rPr>
          <w:b w:val="0"/>
          <w:i w:val="0"/>
          <w:sz w:val="22"/>
        </w:rPr>
        <w:t>(b) Political party</w:t>
      </w:r>
    </w:p>
    <w:p>
      <w:pPr>
        <w:spacing w:after="0" w:before="0"/>
      </w:pPr>
      <w:r>
        <w:rPr>
          <w:b w:val="0"/>
          <w:i w:val="0"/>
          <w:sz w:val="22"/>
        </w:rPr>
        <w:t>(c) Hospital staff association</w:t>
      </w:r>
    </w:p>
    <w:p>
      <w:pPr>
        <w:spacing w:after="0" w:before="0"/>
      </w:pPr>
      <w:r>
        <w:rPr>
          <w:b w:val="0"/>
          <w:i w:val="0"/>
          <w:sz w:val="22"/>
        </w:rPr>
        <w:t>(d) Trade union</w:t>
      </w:r>
    </w:p>
    <w:p>
      <w:pPr>
        <w:spacing w:after="0" w:before="40"/>
      </w:pPr>
      <w:r>
        <w:rPr>
          <w:b/>
          <w:i w:val="0"/>
          <w:sz w:val="22"/>
        </w:rPr>
        <w:t>Answer: a</w:t>
      </w:r>
    </w:p>
    <w:p>
      <w:pPr>
        <w:spacing w:after="0" w:before="0"/>
      </w:pPr>
      <w:r>
        <w:rPr>
          <w:b w:val="0"/>
          <w:i w:val="0"/>
          <w:sz w:val="21"/>
        </w:rPr>
        <w:t>Solution: A primary group is characterized by close, intimate, face-to-face relationships, with the family as the classic example. Political parties, staff associations, and unions are secondary groups based on formal, impersonal relationships.</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A ward in-charge involves staff in decision-making, encourages discussion, and considers their suggestions before implementing changes. This is an example of which leadership style?</w:t>
      </w:r>
    </w:p>
    <w:p>
      <w:pPr>
        <w:spacing w:after="0" w:before="0"/>
      </w:pPr>
      <w:r>
        <w:rPr>
          <w:b w:val="0"/>
          <w:i w:val="0"/>
          <w:sz w:val="22"/>
        </w:rPr>
        <w:t>(a) Autocratic</w:t>
      </w:r>
    </w:p>
    <w:p>
      <w:pPr>
        <w:spacing w:after="0" w:before="0"/>
      </w:pPr>
      <w:r>
        <w:rPr>
          <w:b w:val="0"/>
          <w:i w:val="0"/>
          <w:sz w:val="22"/>
        </w:rPr>
        <w:t>(b) Democratic</w:t>
      </w:r>
    </w:p>
    <w:p>
      <w:pPr>
        <w:spacing w:after="0" w:before="0"/>
      </w:pPr>
      <w:r>
        <w:rPr>
          <w:b w:val="0"/>
          <w:i w:val="0"/>
          <w:sz w:val="22"/>
        </w:rPr>
        <w:t>(c) Laissez-faire</w:t>
      </w:r>
    </w:p>
    <w:p>
      <w:pPr>
        <w:spacing w:after="0" w:before="0"/>
      </w:pPr>
      <w:r>
        <w:rPr>
          <w:b w:val="0"/>
          <w:i w:val="0"/>
          <w:sz w:val="22"/>
        </w:rPr>
        <w:t>(d) Bureaucratic</w:t>
      </w:r>
    </w:p>
    <w:p>
      <w:pPr>
        <w:spacing w:after="0" w:before="40"/>
      </w:pPr>
      <w:r>
        <w:rPr>
          <w:b/>
          <w:i w:val="0"/>
          <w:sz w:val="22"/>
        </w:rPr>
        <w:t>Answer: b</w:t>
      </w:r>
    </w:p>
    <w:p>
      <w:pPr>
        <w:spacing w:after="0" w:before="0"/>
      </w:pPr>
      <w:r>
        <w:rPr>
          <w:b w:val="0"/>
          <w:i w:val="0"/>
          <w:sz w:val="21"/>
        </w:rPr>
        <w:t>Solution: Democratic (participative) leadership involves the group in decision-making, promotes collaboration, and boosts morale and job satisfaction. Autocratic leaders decide alone; laissez-faire leaders give minimal direction; bureaucratic leaders follow rules rigidly.</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Which food provides the highest amount of calcium per serving?</w:t>
      </w:r>
    </w:p>
    <w:p>
      <w:pPr>
        <w:spacing w:after="0" w:before="0"/>
      </w:pPr>
      <w:r>
        <w:rPr>
          <w:b w:val="0"/>
          <w:i w:val="0"/>
          <w:sz w:val="22"/>
        </w:rPr>
        <w:t>(a) Rice</w:t>
      </w:r>
    </w:p>
    <w:p>
      <w:pPr>
        <w:spacing w:after="0" w:before="0"/>
      </w:pPr>
      <w:r>
        <w:rPr>
          <w:b w:val="0"/>
          <w:i w:val="0"/>
          <w:sz w:val="22"/>
        </w:rPr>
        <w:t>(b) Milk and milk products</w:t>
      </w:r>
    </w:p>
    <w:p>
      <w:pPr>
        <w:spacing w:after="0" w:before="0"/>
      </w:pPr>
      <w:r>
        <w:rPr>
          <w:b w:val="0"/>
          <w:i w:val="0"/>
          <w:sz w:val="22"/>
        </w:rPr>
        <w:t>(c) Banana</w:t>
      </w:r>
    </w:p>
    <w:p>
      <w:pPr>
        <w:spacing w:after="0" w:before="0"/>
      </w:pPr>
      <w:r>
        <w:rPr>
          <w:b w:val="0"/>
          <w:i w:val="0"/>
          <w:sz w:val="22"/>
        </w:rPr>
        <w:t>(d) Sugar</w:t>
      </w:r>
    </w:p>
    <w:p>
      <w:pPr>
        <w:spacing w:after="0" w:before="40"/>
      </w:pPr>
      <w:r>
        <w:rPr>
          <w:b/>
          <w:i w:val="0"/>
          <w:sz w:val="22"/>
        </w:rPr>
        <w:t>Answer: b</w:t>
      </w:r>
    </w:p>
    <w:p>
      <w:pPr>
        <w:spacing w:after="0" w:before="0"/>
      </w:pPr>
      <w:r>
        <w:rPr>
          <w:b w:val="0"/>
          <w:i w:val="0"/>
          <w:sz w:val="21"/>
        </w:rPr>
        <w:t>Solution: Milk and milk products are the richest common sources of bioavailable calcium. Rice, banana, and sugar contain negligible calcium. Green leafy vegetables and ragi also contribute, but dairy is the most concentrated.</w:t>
      </w:r>
    </w:p>
    <w:p>
      <w:pPr>
        <w:spacing w:after="0" w:before="0"/>
      </w:pPr>
      <w:r>
        <w:rPr>
          <w:b w:val="0"/>
          <w:i w:val="0"/>
          <w:sz w:val="20"/>
        </w:rPr>
        <w:t>Positive Marks: 1</w:t>
      </w:r>
    </w:p>
    <w:p>
      <w:pPr>
        <w:spacing w:after="160" w:before="0"/>
      </w:pPr>
      <w:r>
        <w:rPr>
          <w:b w:val="0"/>
          <w:i w:val="0"/>
          <w:sz w:val="20"/>
        </w:rPr>
        <w:t>Negative Marks: 0.25</w:t>
      </w:r>
    </w:p>
    <w:p>
      <w:pPr>
        <w:spacing w:after="40" w:before="120"/>
      </w:pPr>
      <w:r>
        <w:rPr>
          <w:b w:val="0"/>
          <w:i w:val="0"/>
          <w:sz w:val="22"/>
        </w:rPr>
        <w:t>Question: Typhoid fever in humans is caused by which microorganism?</w:t>
      </w:r>
    </w:p>
    <w:p>
      <w:pPr>
        <w:spacing w:after="0" w:before="0"/>
      </w:pPr>
      <w:r>
        <w:rPr>
          <w:b w:val="0"/>
          <w:i w:val="0"/>
          <w:sz w:val="22"/>
        </w:rPr>
        <w:t>(a) Salmonella typhi</w:t>
      </w:r>
    </w:p>
    <w:p>
      <w:pPr>
        <w:spacing w:after="0" w:before="0"/>
      </w:pPr>
      <w:r>
        <w:rPr>
          <w:b w:val="0"/>
          <w:i w:val="0"/>
          <w:sz w:val="22"/>
        </w:rPr>
        <w:t>(b) Vibrio cholerae</w:t>
      </w:r>
    </w:p>
    <w:p>
      <w:pPr>
        <w:spacing w:after="0" w:before="0"/>
      </w:pPr>
      <w:r>
        <w:rPr>
          <w:b w:val="0"/>
          <w:i w:val="0"/>
          <w:sz w:val="22"/>
        </w:rPr>
        <w:t>(c) Shigella dysenteriae</w:t>
      </w:r>
    </w:p>
    <w:p>
      <w:pPr>
        <w:spacing w:after="0" w:before="0"/>
      </w:pPr>
      <w:r>
        <w:rPr>
          <w:b w:val="0"/>
          <w:i w:val="0"/>
          <w:sz w:val="22"/>
        </w:rPr>
        <w:t>(d) Escherichia coli</w:t>
      </w:r>
    </w:p>
    <w:p>
      <w:pPr>
        <w:spacing w:after="0" w:before="40"/>
      </w:pPr>
      <w:r>
        <w:rPr>
          <w:b/>
          <w:i w:val="0"/>
          <w:sz w:val="22"/>
        </w:rPr>
        <w:t>Answer: a</w:t>
      </w:r>
    </w:p>
    <w:p>
      <w:pPr>
        <w:spacing w:after="0" w:before="0"/>
      </w:pPr>
      <w:r>
        <w:rPr>
          <w:b w:val="0"/>
          <w:i w:val="0"/>
          <w:sz w:val="21"/>
        </w:rPr>
        <w:t>Solution: Typhoid is caused by Salmonella typhi, transmitted through contaminated food and water (fecal-oral). Vibrio cholerae causes cholera, Shigella causes bacillary dysentery, and E. coli is a common cause of gastroenteritis/UTI.</w:t>
      </w:r>
    </w:p>
    <w:p>
      <w:pPr>
        <w:spacing w:after="0" w:before="0"/>
      </w:pPr>
      <w:r>
        <w:rPr>
          <w:b w:val="0"/>
          <w:i w:val="0"/>
          <w:sz w:val="20"/>
        </w:rPr>
        <w:t>Positive Marks: 1</w:t>
      </w:r>
    </w:p>
    <w:p>
      <w:pPr>
        <w:spacing w:after="160" w:before="0"/>
      </w:pPr>
      <w:r>
        <w:rPr>
          <w:b w:val="0"/>
          <w:i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