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immune thrombocytopenia (ITP) has a platelet count of 30,000/mm3 and petechiae. Which nursing action is most important?</w:t>
      </w:r>
    </w:p>
    <w:p>
      <w:pPr>
        <w:spacing w:after="0" w:before="0"/>
      </w:pPr>
      <w:r>
        <w:rPr>
          <w:b w:val="0"/>
          <w:i w:val="0"/>
          <w:sz w:val="22"/>
        </w:rPr>
        <w:t>(a) Avoid intramuscular injections and use soft-bristle toothbrush</w:t>
      </w:r>
    </w:p>
    <w:p>
      <w:pPr>
        <w:spacing w:after="0" w:before="0"/>
      </w:pPr>
      <w:r>
        <w:rPr>
          <w:b w:val="0"/>
          <w:i w:val="0"/>
          <w:sz w:val="22"/>
        </w:rPr>
        <w:t>(b) Encourage vigorous physical activity to improve circulation</w:t>
      </w:r>
    </w:p>
    <w:p>
      <w:pPr>
        <w:spacing w:after="0" w:before="0"/>
      </w:pPr>
      <w:r>
        <w:rPr>
          <w:b w:val="0"/>
          <w:i w:val="0"/>
          <w:sz w:val="22"/>
        </w:rPr>
        <w:t>(c) Administer aspirin for headache</w:t>
      </w:r>
    </w:p>
    <w:p>
      <w:pPr>
        <w:spacing w:after="0" w:before="0"/>
      </w:pPr>
      <w:r>
        <w:rPr>
          <w:b w:val="0"/>
          <w:i w:val="0"/>
          <w:sz w:val="22"/>
        </w:rPr>
        <w:t>(d) Apply firm pressure only if bleeding occurs</w:t>
      </w:r>
    </w:p>
    <w:p>
      <w:pPr>
        <w:spacing w:after="0" w:before="40"/>
      </w:pPr>
      <w:r>
        <w:rPr>
          <w:b/>
          <w:i w:val="0"/>
          <w:sz w:val="22"/>
        </w:rPr>
        <w:t>Answer: a</w:t>
      </w:r>
    </w:p>
    <w:p>
      <w:pPr>
        <w:spacing w:after="0" w:before="0"/>
      </w:pPr>
      <w:r>
        <w:rPr>
          <w:b w:val="0"/>
          <w:i w:val="0"/>
          <w:sz w:val="21"/>
        </w:rPr>
        <w:t>Solution: With severe thrombocytopenia, measures that cause bleeding are avoided: no IM injections, soft toothbrush, no aspirin/NSAIDs, and gentle handling. Even minor trauma can cause significant hemorrhage.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essential for a client with hemophilia A?</w:t>
      </w:r>
    </w:p>
    <w:p>
      <w:pPr>
        <w:spacing w:after="0" w:before="0"/>
      </w:pPr>
      <w:r>
        <w:rPr>
          <w:b w:val="0"/>
          <w:i w:val="0"/>
          <w:sz w:val="22"/>
        </w:rPr>
        <w:t>(a) Avoid aspirin and NSAIDs; report any unusual bleeding promptly</w:t>
      </w:r>
    </w:p>
    <w:p>
      <w:pPr>
        <w:spacing w:after="0" w:before="0"/>
      </w:pPr>
      <w:r>
        <w:rPr>
          <w:b w:val="0"/>
          <w:i w:val="0"/>
          <w:sz w:val="22"/>
        </w:rPr>
        <w:t>(b) Take aspirin daily to prevent clot formation</w:t>
      </w:r>
    </w:p>
    <w:p>
      <w:pPr>
        <w:spacing w:after="0" w:before="0"/>
      </w:pPr>
      <w:r>
        <w:rPr>
          <w:b w:val="0"/>
          <w:i w:val="0"/>
          <w:sz w:val="22"/>
        </w:rPr>
        <w:t>(c) Avoid all forms of exercise permanently</w:t>
      </w:r>
    </w:p>
    <w:p>
      <w:pPr>
        <w:spacing w:after="0" w:before="0"/>
      </w:pPr>
      <w:r>
        <w:rPr>
          <w:b w:val="0"/>
          <w:i w:val="0"/>
          <w:sz w:val="22"/>
        </w:rPr>
        <w:t>(d) Use a hard-bristle toothbrush for cleaning</w:t>
      </w:r>
    </w:p>
    <w:p>
      <w:pPr>
        <w:spacing w:after="0" w:before="40"/>
      </w:pPr>
      <w:r>
        <w:rPr>
          <w:b/>
          <w:i w:val="0"/>
          <w:sz w:val="22"/>
        </w:rPr>
        <w:t>Answer: a</w:t>
      </w:r>
    </w:p>
    <w:p>
      <w:pPr>
        <w:spacing w:after="0" w:before="0"/>
      </w:pPr>
      <w:r>
        <w:rPr>
          <w:b w:val="0"/>
          <w:i w:val="0"/>
          <w:sz w:val="21"/>
        </w:rPr>
        <w:t>Solution: Hemophilia A is a factor VIII deficiency causing bleeding; aspirin and NSAIDs impair platelet function and must be avoided, along with IM injections and contact sports. Prompt reporting of bleeding allows early factor replacement.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a client with diabetes regarding daily foot care?</w:t>
      </w:r>
    </w:p>
    <w:p>
      <w:pPr>
        <w:spacing w:after="0" w:before="0"/>
      </w:pPr>
      <w:r>
        <w:rPr>
          <w:b w:val="0"/>
          <w:i w:val="0"/>
          <w:sz w:val="22"/>
        </w:rPr>
        <w:t>(a) Inspect both feet daily, dry carefully between toes, and never walk barefoot</w:t>
      </w:r>
    </w:p>
    <w:p>
      <w:pPr>
        <w:spacing w:after="0" w:before="0"/>
      </w:pPr>
      <w:r>
        <w:rPr>
          <w:b w:val="0"/>
          <w:i w:val="0"/>
          <w:sz w:val="22"/>
        </w:rPr>
        <w:t>(b) Soak the feet in hot water for 20 minutes daily</w:t>
      </w:r>
    </w:p>
    <w:p>
      <w:pPr>
        <w:spacing w:after="0" w:before="0"/>
      </w:pPr>
      <w:r>
        <w:rPr>
          <w:b w:val="0"/>
          <w:i w:val="0"/>
          <w:sz w:val="22"/>
        </w:rPr>
        <w:t>(c) Trim toenails by cutting straight across the corners deep</w:t>
      </w:r>
    </w:p>
    <w:p>
      <w:pPr>
        <w:spacing w:after="0" w:before="0"/>
      </w:pPr>
      <w:r>
        <w:rPr>
          <w:b w:val="0"/>
          <w:i w:val="0"/>
          <w:sz w:val="22"/>
        </w:rPr>
        <w:t>(d) Apply heat to numb the feet</w:t>
      </w:r>
    </w:p>
    <w:p>
      <w:pPr>
        <w:spacing w:after="0" w:before="40"/>
      </w:pPr>
      <w:r>
        <w:rPr>
          <w:b/>
          <w:i w:val="0"/>
          <w:sz w:val="22"/>
        </w:rPr>
        <w:t>Answer: a</w:t>
      </w:r>
    </w:p>
    <w:p>
      <w:pPr>
        <w:spacing w:after="0" w:before="0"/>
      </w:pPr>
      <w:r>
        <w:rPr>
          <w:b w:val="0"/>
          <w:i w:val="0"/>
          <w:sz w:val="21"/>
        </w:rPr>
        <w:t>Solution: Daily foot inspection, gentle drying (especially between toes), wearing shoes, and avoiding hot water and trimming nails into the corners prevent ulcers and amputations. Soaking and heat increase injury risk in neuropathic feet.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type 1 diabetes has a respiratory infection and poor appetite. Which instruction is correct for sick-day management?</w:t>
      </w:r>
    </w:p>
    <w:p>
      <w:pPr>
        <w:spacing w:after="0" w:before="0"/>
      </w:pPr>
      <w:r>
        <w:rPr>
          <w:b w:val="0"/>
          <w:i w:val="0"/>
          <w:sz w:val="22"/>
        </w:rPr>
        <w:t>(a) Never skip insulin, check blood glucose and urine ketones more often, and stay hydrated</w:t>
      </w:r>
    </w:p>
    <w:p>
      <w:pPr>
        <w:spacing w:after="0" w:before="0"/>
      </w:pPr>
      <w:r>
        <w:rPr>
          <w:b w:val="0"/>
          <w:i w:val="0"/>
          <w:sz w:val="22"/>
        </w:rPr>
        <w:t>(b) Stop insulin until eating normally again</w:t>
      </w:r>
    </w:p>
    <w:p>
      <w:pPr>
        <w:spacing w:after="0" w:before="0"/>
      </w:pPr>
      <w:r>
        <w:rPr>
          <w:b w:val="0"/>
          <w:i w:val="0"/>
          <w:sz w:val="22"/>
        </w:rPr>
        <w:t>(c) Drink only clear water and avoid all food</w:t>
      </w:r>
    </w:p>
    <w:p>
      <w:pPr>
        <w:spacing w:after="0" w:before="0"/>
      </w:pPr>
      <w:r>
        <w:rPr>
          <w:b w:val="0"/>
          <w:i w:val="0"/>
          <w:sz w:val="22"/>
        </w:rPr>
        <w:t>(d) Take extra doses of oral hypoglycemics</w:t>
      </w:r>
    </w:p>
    <w:p>
      <w:pPr>
        <w:spacing w:after="0" w:before="40"/>
      </w:pPr>
      <w:r>
        <w:rPr>
          <w:b/>
          <w:i w:val="0"/>
          <w:sz w:val="22"/>
        </w:rPr>
        <w:t>Answer: a</w:t>
      </w:r>
    </w:p>
    <w:p>
      <w:pPr>
        <w:spacing w:after="0" w:before="0"/>
      </w:pPr>
      <w:r>
        <w:rPr>
          <w:b w:val="0"/>
          <w:i w:val="0"/>
          <w:sz w:val="21"/>
        </w:rPr>
        <w:t>Solution: During illness, insulin must never be withheld (the stress response raises glucose), and glucose and ketones are monitored frequently with adequate fluid and carbohydrate intake. Skipping insulin risks DKA.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COPD wakes each morning with a headache and feels confused. Which complication should the nurse suspect?</w:t>
      </w:r>
    </w:p>
    <w:p>
      <w:pPr>
        <w:spacing w:after="0" w:before="0"/>
      </w:pPr>
      <w:r>
        <w:rPr>
          <w:b w:val="0"/>
          <w:i w:val="0"/>
          <w:sz w:val="22"/>
        </w:rPr>
        <w:t>(a) Carbon dioxide retention (hypercapnia)</w:t>
      </w:r>
    </w:p>
    <w:p>
      <w:pPr>
        <w:spacing w:after="0" w:before="0"/>
      </w:pPr>
      <w:r>
        <w:rPr>
          <w:b w:val="0"/>
          <w:i w:val="0"/>
          <w:sz w:val="22"/>
        </w:rPr>
        <w:t>(b) Hypoglycemia</w:t>
      </w:r>
    </w:p>
    <w:p>
      <w:pPr>
        <w:spacing w:after="0" w:before="0"/>
      </w:pPr>
      <w:r>
        <w:rPr>
          <w:b w:val="0"/>
          <w:i w:val="0"/>
          <w:sz w:val="22"/>
        </w:rPr>
        <w:t>(c) Fluid overload</w:t>
      </w:r>
    </w:p>
    <w:p>
      <w:pPr>
        <w:spacing w:after="0" w:before="0"/>
      </w:pPr>
      <w:r>
        <w:rPr>
          <w:b w:val="0"/>
          <w:i w:val="0"/>
          <w:sz w:val="22"/>
        </w:rPr>
        <w:t>(d) Hypothyroidism</w:t>
      </w:r>
    </w:p>
    <w:p>
      <w:pPr>
        <w:spacing w:after="0" w:before="40"/>
      </w:pPr>
      <w:r>
        <w:rPr>
          <w:b/>
          <w:i w:val="0"/>
          <w:sz w:val="22"/>
        </w:rPr>
        <w:t>Answer: a</w:t>
      </w:r>
    </w:p>
    <w:p>
      <w:pPr>
        <w:spacing w:after="0" w:before="0"/>
      </w:pPr>
      <w:r>
        <w:rPr>
          <w:b w:val="0"/>
          <w:i w:val="0"/>
          <w:sz w:val="21"/>
        </w:rPr>
        <w:t>Solution: Morning headache, confusion, and drowsiness in COPD suggest CO2 retention (hypercapnia) from hypoventilation, especially during sleep. The nurse should assess oxygenation and notify the provider; oxygen is given cautiously.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An 80-year-old client with pneumonia has a normal temperature but is newly confused and lethargic. Which statement is correct?</w:t>
      </w:r>
    </w:p>
    <w:p>
      <w:pPr>
        <w:spacing w:after="0" w:before="0"/>
      </w:pPr>
      <w:r>
        <w:rPr>
          <w:b w:val="0"/>
          <w:i w:val="0"/>
          <w:sz w:val="22"/>
        </w:rPr>
        <w:t>(a) Confusion may be the only presenting sign of pneumonia in older adults</w:t>
      </w:r>
    </w:p>
    <w:p>
      <w:pPr>
        <w:spacing w:after="0" w:before="0"/>
      </w:pPr>
      <w:r>
        <w:rPr>
          <w:b w:val="0"/>
          <w:i w:val="0"/>
          <w:sz w:val="22"/>
        </w:rPr>
        <w:t>(b) The client cannot have pneumonia without a fever</w:t>
      </w:r>
    </w:p>
    <w:p>
      <w:pPr>
        <w:spacing w:after="0" w:before="0"/>
      </w:pPr>
      <w:r>
        <w:rPr>
          <w:b w:val="0"/>
          <w:i w:val="0"/>
          <w:sz w:val="22"/>
        </w:rPr>
        <w:t>(c) Antibiotics are not needed without cough</w:t>
      </w:r>
    </w:p>
    <w:p>
      <w:pPr>
        <w:spacing w:after="0" w:before="0"/>
      </w:pPr>
      <w:r>
        <w:rPr>
          <w:b w:val="0"/>
          <w:i w:val="0"/>
          <w:sz w:val="22"/>
        </w:rPr>
        <w:t>(d) Delirium rules out pneumonia</w:t>
      </w:r>
    </w:p>
    <w:p>
      <w:pPr>
        <w:spacing w:after="0" w:before="40"/>
      </w:pPr>
      <w:r>
        <w:rPr>
          <w:b/>
          <w:i w:val="0"/>
          <w:sz w:val="22"/>
        </w:rPr>
        <w:t>Answer: a</w:t>
      </w:r>
    </w:p>
    <w:p>
      <w:pPr>
        <w:spacing w:after="0" w:before="0"/>
      </w:pPr>
      <w:r>
        <w:rPr>
          <w:b w:val="0"/>
          <w:i w:val="0"/>
          <w:sz w:val="21"/>
        </w:rPr>
        <w:t>Solution: Older adults often present with atypical pneumonia signs—confusion, falls, or lethargy—without fever or cough. A high index of suspicion is needed because delayed treatment is dangerous.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found to have a pulsatile abdominal mass and reports severe low back pain. Which condition is most likely and what is the priority action?</w:t>
      </w:r>
    </w:p>
    <w:p>
      <w:pPr>
        <w:spacing w:after="0" w:before="0"/>
      </w:pPr>
      <w:r>
        <w:rPr>
          <w:b w:val="0"/>
          <w:i w:val="0"/>
          <w:sz w:val="22"/>
        </w:rPr>
        <w:t>(a) Abdominal aortic aneurysm; keep the client NPO, obtain IV access, and prepare for emergency evaluation</w:t>
      </w:r>
    </w:p>
    <w:p>
      <w:pPr>
        <w:spacing w:after="0" w:before="0"/>
      </w:pPr>
      <w:r>
        <w:rPr>
          <w:b w:val="0"/>
          <w:i w:val="0"/>
          <w:sz w:val="22"/>
        </w:rPr>
        <w:t>(b) Hernia; apply a truss immediately</w:t>
      </w:r>
    </w:p>
    <w:p>
      <w:pPr>
        <w:spacing w:after="0" w:before="0"/>
      </w:pPr>
      <w:r>
        <w:rPr>
          <w:b w:val="0"/>
          <w:i w:val="0"/>
          <w:sz w:val="22"/>
        </w:rPr>
        <w:t>(c) Diverticulitis; give a high-fiber meal</w:t>
      </w:r>
    </w:p>
    <w:p>
      <w:pPr>
        <w:spacing w:after="0" w:before="0"/>
      </w:pPr>
      <w:r>
        <w:rPr>
          <w:b w:val="0"/>
          <w:i w:val="0"/>
          <w:sz w:val="22"/>
        </w:rPr>
        <w:t>(d) Renal colic; strain all urine</w:t>
      </w:r>
    </w:p>
    <w:p>
      <w:pPr>
        <w:spacing w:after="0" w:before="40"/>
      </w:pPr>
      <w:r>
        <w:rPr>
          <w:b/>
          <w:i w:val="0"/>
          <w:sz w:val="22"/>
        </w:rPr>
        <w:t>Answer: a</w:t>
      </w:r>
    </w:p>
    <w:p>
      <w:pPr>
        <w:spacing w:after="0" w:before="0"/>
      </w:pPr>
      <w:r>
        <w:rPr>
          <w:b w:val="0"/>
          <w:i w:val="0"/>
          <w:sz w:val="21"/>
        </w:rPr>
        <w:t>Solution: A pulsatile abdominal mass with back pain suggests an abdominal aortic aneurysm, and new severe pain may signal impending rupture—a surgical emergency. The client needs NPO status, IV access, and immediate evaluation.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acute pericarditis reports chest pain that is worse when lying flat and relieved by sitting up and leaning forward. Which additional finding supports the diagnosis?</w:t>
      </w:r>
    </w:p>
    <w:p>
      <w:pPr>
        <w:spacing w:after="0" w:before="0"/>
      </w:pPr>
      <w:r>
        <w:rPr>
          <w:b w:val="0"/>
          <w:i w:val="0"/>
          <w:sz w:val="22"/>
        </w:rPr>
        <w:t>(a) A pericardial friction rub on auscultation</w:t>
      </w:r>
    </w:p>
    <w:p>
      <w:pPr>
        <w:spacing w:after="0" w:before="0"/>
      </w:pPr>
      <w:r>
        <w:rPr>
          <w:b w:val="0"/>
          <w:i w:val="0"/>
          <w:sz w:val="22"/>
        </w:rPr>
        <w:t>(b) Wheezing on expiration</w:t>
      </w:r>
    </w:p>
    <w:p>
      <w:pPr>
        <w:spacing w:after="0" w:before="0"/>
      </w:pPr>
      <w:r>
        <w:rPr>
          <w:b w:val="0"/>
          <w:i w:val="0"/>
          <w:sz w:val="22"/>
        </w:rPr>
        <w:t>(c) A unilateral calf swelling</w:t>
      </w:r>
    </w:p>
    <w:p>
      <w:pPr>
        <w:spacing w:after="0" w:before="0"/>
      </w:pPr>
      <w:r>
        <w:rPr>
          <w:b w:val="0"/>
          <w:i w:val="0"/>
          <w:sz w:val="22"/>
        </w:rPr>
        <w:t>(d) Jaundice and ascites</w:t>
      </w:r>
    </w:p>
    <w:p>
      <w:pPr>
        <w:spacing w:after="0" w:before="40"/>
      </w:pPr>
      <w:r>
        <w:rPr>
          <w:b/>
          <w:i w:val="0"/>
          <w:sz w:val="22"/>
        </w:rPr>
        <w:t>Answer: a</w:t>
      </w:r>
    </w:p>
    <w:p>
      <w:pPr>
        <w:spacing w:after="0" w:before="0"/>
      </w:pPr>
      <w:r>
        <w:rPr>
          <w:b w:val="0"/>
          <w:i w:val="0"/>
          <w:sz w:val="21"/>
        </w:rPr>
        <w:t>Solution: Pericarditis classically causes pleuritic chest pain relieved by sitting forward, with a pericardial friction rub audible. Wheezing, calf swelling, and jaundice point to other conditions.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new colostomy asks when to empty the pouch. Which instruction is correct?</w:t>
      </w:r>
    </w:p>
    <w:p>
      <w:pPr>
        <w:spacing w:after="0" w:before="0"/>
      </w:pPr>
      <w:r>
        <w:rPr>
          <w:b w:val="0"/>
          <w:i w:val="0"/>
          <w:sz w:val="22"/>
        </w:rPr>
        <w:t>(a) Empty the pouch when it is one-third to one-half full</w:t>
      </w:r>
    </w:p>
    <w:p>
      <w:pPr>
        <w:spacing w:after="0" w:before="0"/>
      </w:pPr>
      <w:r>
        <w:rPr>
          <w:b w:val="0"/>
          <w:i w:val="0"/>
          <w:sz w:val="22"/>
        </w:rPr>
        <w:t>(b) Empty it only once daily at bedtime</w:t>
      </w:r>
    </w:p>
    <w:p>
      <w:pPr>
        <w:spacing w:after="0" w:before="0"/>
      </w:pPr>
      <w:r>
        <w:rPr>
          <w:b w:val="0"/>
          <w:i w:val="0"/>
          <w:sz w:val="22"/>
        </w:rPr>
        <w:t>(c) Wait until the pouch is completely full</w:t>
      </w:r>
    </w:p>
    <w:p>
      <w:pPr>
        <w:spacing w:after="0" w:before="0"/>
      </w:pPr>
      <w:r>
        <w:rPr>
          <w:b w:val="0"/>
          <w:i w:val="0"/>
          <w:sz w:val="22"/>
        </w:rPr>
        <w:t>(d) Change the entire wafer every time the pouch is emptied</w:t>
      </w:r>
    </w:p>
    <w:p>
      <w:pPr>
        <w:spacing w:after="0" w:before="40"/>
      </w:pPr>
      <w:r>
        <w:rPr>
          <w:b/>
          <w:i w:val="0"/>
          <w:sz w:val="22"/>
        </w:rPr>
        <w:t>Answer: a</w:t>
      </w:r>
    </w:p>
    <w:p>
      <w:pPr>
        <w:spacing w:after="0" w:before="0"/>
      </w:pPr>
      <w:r>
        <w:rPr>
          <w:b w:val="0"/>
          <w:i w:val="0"/>
          <w:sz w:val="21"/>
        </w:rPr>
        <w:t>Solution: The colostomy pouch is emptied when one-third to one-half full to prevent leakage and pouch separation. The skin barrier (wafer) is changed every few days, not with each emptying.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method is most accurate for determining post-void residual urine in a client?</w:t>
      </w:r>
    </w:p>
    <w:p>
      <w:pPr>
        <w:spacing w:after="0" w:before="0"/>
      </w:pPr>
      <w:r>
        <w:rPr>
          <w:b w:val="0"/>
          <w:i w:val="0"/>
          <w:sz w:val="22"/>
        </w:rPr>
        <w:t>(a) Bladder scan (ultrasound) after the client voids</w:t>
      </w:r>
    </w:p>
    <w:p>
      <w:pPr>
        <w:spacing w:after="0" w:before="0"/>
      </w:pPr>
      <w:r>
        <w:rPr>
          <w:b w:val="0"/>
          <w:i w:val="0"/>
          <w:sz w:val="22"/>
        </w:rPr>
        <w:t>(b) Palpating the suprapubic area</w:t>
      </w:r>
    </w:p>
    <w:p>
      <w:pPr>
        <w:spacing w:after="0" w:before="0"/>
      </w:pPr>
      <w:r>
        <w:rPr>
          <w:b w:val="0"/>
          <w:i w:val="0"/>
          <w:sz w:val="22"/>
        </w:rPr>
        <w:t>(c) Asking the client to estimate output</w:t>
      </w:r>
    </w:p>
    <w:p>
      <w:pPr>
        <w:spacing w:after="0" w:before="0"/>
      </w:pPr>
      <w:r>
        <w:rPr>
          <w:b w:val="0"/>
          <w:i w:val="0"/>
          <w:sz w:val="22"/>
        </w:rPr>
        <w:t>(d) Weighing the client before and after voiding</w:t>
      </w:r>
    </w:p>
    <w:p>
      <w:pPr>
        <w:spacing w:after="0" w:before="40"/>
      </w:pPr>
      <w:r>
        <w:rPr>
          <w:b/>
          <w:i w:val="0"/>
          <w:sz w:val="22"/>
        </w:rPr>
        <w:t>Answer: a</w:t>
      </w:r>
    </w:p>
    <w:p>
      <w:pPr>
        <w:spacing w:after="0" w:before="0"/>
      </w:pPr>
      <w:r>
        <w:rPr>
          <w:b w:val="0"/>
          <w:i w:val="0"/>
          <w:sz w:val="21"/>
        </w:rPr>
        <w:t>Solution: A bladder scan (noninvasive ultrasound) immediately after voiding accurately measures post-void residual. Palpation and client estimates are unreliable; weighing is impractical and inaccurate.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On the first postpartum day, which lochia finding should be reported immediately?</w:t>
      </w:r>
    </w:p>
    <w:p>
      <w:pPr>
        <w:spacing w:after="0" w:before="0"/>
      </w:pPr>
      <w:r>
        <w:rPr>
          <w:b w:val="0"/>
          <w:i w:val="0"/>
          <w:sz w:val="22"/>
        </w:rPr>
        <w:t>(a) A perineal pad saturated with bright red blood within 15 minutes</w:t>
      </w:r>
    </w:p>
    <w:p>
      <w:pPr>
        <w:spacing w:after="0" w:before="0"/>
      </w:pPr>
      <w:r>
        <w:rPr>
          <w:b w:val="0"/>
          <w:i w:val="0"/>
          <w:sz w:val="22"/>
        </w:rPr>
        <w:t>(b) Scanty dark red lochia with small clots</w:t>
      </w:r>
    </w:p>
    <w:p>
      <w:pPr>
        <w:spacing w:after="0" w:before="0"/>
      </w:pPr>
      <w:r>
        <w:rPr>
          <w:b w:val="0"/>
          <w:i w:val="0"/>
          <w:sz w:val="22"/>
        </w:rPr>
        <w:t>(c) Pinkish lochia that decreases with activity</w:t>
      </w:r>
    </w:p>
    <w:p>
      <w:pPr>
        <w:spacing w:after="0" w:before="0"/>
      </w:pPr>
      <w:r>
        <w:rPr>
          <w:b w:val="0"/>
          <w:i w:val="0"/>
          <w:sz w:val="22"/>
        </w:rPr>
        <w:t>(d) Yellowish-white lochia on day 10</w:t>
      </w:r>
    </w:p>
    <w:p>
      <w:pPr>
        <w:spacing w:after="0" w:before="40"/>
      </w:pPr>
      <w:r>
        <w:rPr>
          <w:b/>
          <w:i w:val="0"/>
          <w:sz w:val="22"/>
        </w:rPr>
        <w:t>Answer: a</w:t>
      </w:r>
    </w:p>
    <w:p>
      <w:pPr>
        <w:spacing w:after="0" w:before="0"/>
      </w:pPr>
      <w:r>
        <w:rPr>
          <w:b w:val="0"/>
          <w:i w:val="0"/>
          <w:sz w:val="21"/>
        </w:rPr>
        <w:t>Solution: Lochia rubra is bright red for the first 3 days, but saturating a pad in 15 minutes indicates postpartum hemorrhage. Scanty rubra, decreasing flow, and later serosa/alba colors are normal.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who accuses a coworker of being angry when the nurse is actually feeling angry is using which defense mechanism?</w:t>
      </w:r>
    </w:p>
    <w:p>
      <w:pPr>
        <w:spacing w:after="0" w:before="0"/>
      </w:pPr>
      <w:r>
        <w:rPr>
          <w:b w:val="0"/>
          <w:i w:val="0"/>
          <w:sz w:val="22"/>
        </w:rPr>
        <w:t>(a) Projection</w:t>
      </w:r>
    </w:p>
    <w:p>
      <w:pPr>
        <w:spacing w:after="0" w:before="0"/>
      </w:pPr>
      <w:r>
        <w:rPr>
          <w:b w:val="0"/>
          <w:i w:val="0"/>
          <w:sz w:val="22"/>
        </w:rPr>
        <w:t>(b) Sublimation</w:t>
      </w:r>
    </w:p>
    <w:p>
      <w:pPr>
        <w:spacing w:after="0" w:before="0"/>
      </w:pPr>
      <w:r>
        <w:rPr>
          <w:b w:val="0"/>
          <w:i w:val="0"/>
          <w:sz w:val="22"/>
        </w:rPr>
        <w:t>(c) Suppression</w:t>
      </w:r>
    </w:p>
    <w:p>
      <w:pPr>
        <w:spacing w:after="0" w:before="0"/>
      </w:pPr>
      <w:r>
        <w:rPr>
          <w:b w:val="0"/>
          <w:i w:val="0"/>
          <w:sz w:val="22"/>
        </w:rPr>
        <w:t>(d) Regression</w:t>
      </w:r>
    </w:p>
    <w:p>
      <w:pPr>
        <w:spacing w:after="0" w:before="40"/>
      </w:pPr>
      <w:r>
        <w:rPr>
          <w:b/>
          <w:i w:val="0"/>
          <w:sz w:val="22"/>
        </w:rPr>
        <w:t>Answer: a</w:t>
      </w:r>
    </w:p>
    <w:p>
      <w:pPr>
        <w:spacing w:after="0" w:before="0"/>
      </w:pPr>
      <w:r>
        <w:rPr>
          <w:b w:val="0"/>
          <w:i w:val="0"/>
          <w:sz w:val="21"/>
        </w:rPr>
        <w:t>Solution: Projection attributes one's own unacceptable feelings or impulses to another person. Sublimation channels them into acceptable activities; suppression is conscious postponement; regression is a return to earlier behaviors.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toy is most developmentally appropriate for a 6-month-old infant?</w:t>
      </w:r>
    </w:p>
    <w:p>
      <w:pPr>
        <w:spacing w:after="0" w:before="0"/>
      </w:pPr>
      <w:r>
        <w:rPr>
          <w:b w:val="0"/>
          <w:i w:val="0"/>
          <w:sz w:val="22"/>
        </w:rPr>
        <w:t>(a) A large, brightly colored rattle and teething ring</w:t>
      </w:r>
    </w:p>
    <w:p>
      <w:pPr>
        <w:spacing w:after="0" w:before="0"/>
      </w:pPr>
      <w:r>
        <w:rPr>
          <w:b w:val="0"/>
          <w:i w:val="0"/>
          <w:sz w:val="22"/>
        </w:rPr>
        <w:t>(b) Small building blocks with sharp edges</w:t>
      </w:r>
    </w:p>
    <w:p>
      <w:pPr>
        <w:spacing w:after="0" w:before="0"/>
      </w:pPr>
      <w:r>
        <w:rPr>
          <w:b w:val="0"/>
          <w:i w:val="0"/>
          <w:sz w:val="22"/>
        </w:rPr>
        <w:t>(c) A puzzle with 50 pieces</w:t>
      </w:r>
    </w:p>
    <w:p>
      <w:pPr>
        <w:spacing w:after="0" w:before="0"/>
      </w:pPr>
      <w:r>
        <w:rPr>
          <w:b w:val="0"/>
          <w:i w:val="0"/>
          <w:sz w:val="22"/>
        </w:rPr>
        <w:t>(d) A toy with small removable parts</w:t>
      </w:r>
    </w:p>
    <w:p>
      <w:pPr>
        <w:spacing w:after="0" w:before="40"/>
      </w:pPr>
      <w:r>
        <w:rPr>
          <w:b/>
          <w:i w:val="0"/>
          <w:sz w:val="22"/>
        </w:rPr>
        <w:t>Answer: a</w:t>
      </w:r>
    </w:p>
    <w:p>
      <w:pPr>
        <w:spacing w:after="0" w:before="0"/>
      </w:pPr>
      <w:r>
        <w:rPr>
          <w:b w:val="0"/>
          <w:i w:val="0"/>
          <w:sz w:val="21"/>
        </w:rPr>
        <w:t>Solution: At 6 months, infants grasp, mouth, and shake objects, so large, safe rattles and teething rings suit their oral-motor and grasp development. Small parts and sharp edges pose choking and injury hazards.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maternal mortality ratio (MMR) is best defined as:</w:t>
      </w:r>
    </w:p>
    <w:p>
      <w:pPr>
        <w:spacing w:after="0" w:before="0"/>
      </w:pPr>
      <w:r>
        <w:rPr>
          <w:b w:val="0"/>
          <w:i w:val="0"/>
          <w:sz w:val="22"/>
        </w:rPr>
        <w:t>(a) Maternal deaths per 100,000 live births in a year</w:t>
      </w:r>
    </w:p>
    <w:p>
      <w:pPr>
        <w:spacing w:after="0" w:before="0"/>
      </w:pPr>
      <w:r>
        <w:rPr>
          <w:b w:val="0"/>
          <w:i w:val="0"/>
          <w:sz w:val="22"/>
        </w:rPr>
        <w:t>(b) Maternal deaths per 1,000 total population</w:t>
      </w:r>
    </w:p>
    <w:p>
      <w:pPr>
        <w:spacing w:after="0" w:before="0"/>
      </w:pPr>
      <w:r>
        <w:rPr>
          <w:b w:val="0"/>
          <w:i w:val="0"/>
          <w:sz w:val="22"/>
        </w:rPr>
        <w:t>(c) Infant deaths per 1,000 live births</w:t>
      </w:r>
    </w:p>
    <w:p>
      <w:pPr>
        <w:spacing w:after="0" w:before="0"/>
      </w:pPr>
      <w:r>
        <w:rPr>
          <w:b w:val="0"/>
          <w:i w:val="0"/>
          <w:sz w:val="22"/>
        </w:rPr>
        <w:t>(d) Deaths of women from any cause in a year</w:t>
      </w:r>
    </w:p>
    <w:p>
      <w:pPr>
        <w:spacing w:after="0" w:before="40"/>
      </w:pPr>
      <w:r>
        <w:rPr>
          <w:b/>
          <w:i w:val="0"/>
          <w:sz w:val="22"/>
        </w:rPr>
        <w:t>Answer: a</w:t>
      </w:r>
    </w:p>
    <w:p>
      <w:pPr>
        <w:spacing w:after="0" w:before="0"/>
      </w:pPr>
      <w:r>
        <w:rPr>
          <w:b w:val="0"/>
          <w:i w:val="0"/>
          <w:sz w:val="21"/>
        </w:rPr>
        <w:t>Solution: MMR is the number of maternal deaths (during pregnancy, delivery, or within 42 days) per 100,000 live births. Infant mortality and crude death rates are separate indicators.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action is required when a nurse identifies a notifiable disease such as suspected cholera or measles?</w:t>
      </w:r>
    </w:p>
    <w:p>
      <w:pPr>
        <w:spacing w:after="0" w:before="0"/>
      </w:pPr>
      <w:r>
        <w:rPr>
          <w:b w:val="0"/>
          <w:i w:val="0"/>
          <w:sz w:val="22"/>
        </w:rPr>
        <w:t>(a) Report the case to the local health authority promptly</w:t>
      </w:r>
    </w:p>
    <w:p>
      <w:pPr>
        <w:spacing w:after="0" w:before="0"/>
      </w:pPr>
      <w:r>
        <w:rPr>
          <w:b w:val="0"/>
          <w:i w:val="0"/>
          <w:sz w:val="22"/>
        </w:rPr>
        <w:t>(b) Wait for laboratory confirmation before any report</w:t>
      </w:r>
    </w:p>
    <w:p>
      <w:pPr>
        <w:spacing w:after="0" w:before="0"/>
      </w:pPr>
      <w:r>
        <w:rPr>
          <w:b w:val="0"/>
          <w:i w:val="0"/>
          <w:sz w:val="22"/>
        </w:rPr>
        <w:t>(c) Inform only the client's family</w:t>
      </w:r>
    </w:p>
    <w:p>
      <w:pPr>
        <w:spacing w:after="0" w:before="0"/>
      </w:pPr>
      <w:r>
        <w:rPr>
          <w:b w:val="0"/>
          <w:i w:val="0"/>
          <w:sz w:val="22"/>
        </w:rPr>
        <w:t>(d) Record the case only in the hospital register</w:t>
      </w:r>
    </w:p>
    <w:p>
      <w:pPr>
        <w:spacing w:after="0" w:before="40"/>
      </w:pPr>
      <w:r>
        <w:rPr>
          <w:b/>
          <w:i w:val="0"/>
          <w:sz w:val="22"/>
        </w:rPr>
        <w:t>Answer: a</w:t>
      </w:r>
    </w:p>
    <w:p>
      <w:pPr>
        <w:spacing w:after="0" w:before="0"/>
      </w:pPr>
      <w:r>
        <w:rPr>
          <w:b w:val="0"/>
          <w:i w:val="0"/>
          <w:sz w:val="21"/>
        </w:rPr>
        <w:t>Solution: Notifiable diseases must be reported promptly to the local public health authority for surveillance and outbreak control. Delaying the report until confirmation can allow further spread.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Red-green color blindness is inherited as which pattern?</w:t>
      </w:r>
    </w:p>
    <w:p>
      <w:pPr>
        <w:spacing w:after="0" w:before="0"/>
      </w:pPr>
      <w:r>
        <w:rPr>
          <w:b w:val="0"/>
          <w:i w:val="0"/>
          <w:sz w:val="22"/>
        </w:rPr>
        <w:t>(a) X-linked recessive</w:t>
      </w:r>
    </w:p>
    <w:p>
      <w:pPr>
        <w:spacing w:after="0" w:before="0"/>
      </w:pPr>
      <w:r>
        <w:rPr>
          <w:b w:val="0"/>
          <w:i w:val="0"/>
          <w:sz w:val="22"/>
        </w:rPr>
        <w:t>(b) Autosomal dominant</w:t>
      </w:r>
    </w:p>
    <w:p>
      <w:pPr>
        <w:spacing w:after="0" w:before="0"/>
      </w:pPr>
      <w:r>
        <w:rPr>
          <w:b w:val="0"/>
          <w:i w:val="0"/>
          <w:sz w:val="22"/>
        </w:rPr>
        <w:t>(c) Autosomal recessive</w:t>
      </w:r>
    </w:p>
    <w:p>
      <w:pPr>
        <w:spacing w:after="0" w:before="0"/>
      </w:pPr>
      <w:r>
        <w:rPr>
          <w:b w:val="0"/>
          <w:i w:val="0"/>
          <w:sz w:val="22"/>
        </w:rPr>
        <w:t>(d) Y-linked</w:t>
      </w:r>
    </w:p>
    <w:p>
      <w:pPr>
        <w:spacing w:after="0" w:before="40"/>
      </w:pPr>
      <w:r>
        <w:rPr>
          <w:b/>
          <w:i w:val="0"/>
          <w:sz w:val="22"/>
        </w:rPr>
        <w:t>Answer: a</w:t>
      </w:r>
    </w:p>
    <w:p>
      <w:pPr>
        <w:spacing w:after="0" w:before="0"/>
      </w:pPr>
      <w:r>
        <w:rPr>
          <w:b w:val="0"/>
          <w:i w:val="0"/>
          <w:sz w:val="21"/>
        </w:rPr>
        <w:t>Solution: Red-green color blindness is an X-linked recessive trait: males (XY) express it with one affected X, while females usually require two affected X chromosomes, so it is far more common in males.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According to Piaget, a 3-year-old child who uses symbols in play but cannot yet perform logical operations is in which stage of cognitive development?</w:t>
      </w:r>
    </w:p>
    <w:p>
      <w:pPr>
        <w:spacing w:after="0" w:before="0"/>
      </w:pPr>
      <w:r>
        <w:rPr>
          <w:b w:val="0"/>
          <w:i w:val="0"/>
          <w:sz w:val="22"/>
        </w:rPr>
        <w:t>(a) Preoperational</w:t>
      </w:r>
    </w:p>
    <w:p>
      <w:pPr>
        <w:spacing w:after="0" w:before="0"/>
      </w:pPr>
      <w:r>
        <w:rPr>
          <w:b w:val="0"/>
          <w:i w:val="0"/>
          <w:sz w:val="22"/>
        </w:rPr>
        <w:t>(b) Sensorimotor</w:t>
      </w:r>
    </w:p>
    <w:p>
      <w:pPr>
        <w:spacing w:after="0" w:before="0"/>
      </w:pPr>
      <w:r>
        <w:rPr>
          <w:b w:val="0"/>
          <w:i w:val="0"/>
          <w:sz w:val="22"/>
        </w:rPr>
        <w:t>(c) Concrete operational</w:t>
      </w:r>
    </w:p>
    <w:p>
      <w:pPr>
        <w:spacing w:after="0" w:before="0"/>
      </w:pPr>
      <w:r>
        <w:rPr>
          <w:b w:val="0"/>
          <w:i w:val="0"/>
          <w:sz w:val="22"/>
        </w:rPr>
        <w:t>(d) Formal operational</w:t>
      </w:r>
    </w:p>
    <w:p>
      <w:pPr>
        <w:spacing w:after="0" w:before="40"/>
      </w:pPr>
      <w:r>
        <w:rPr>
          <w:b/>
          <w:i w:val="0"/>
          <w:sz w:val="22"/>
        </w:rPr>
        <w:t>Answer: a</w:t>
      </w:r>
    </w:p>
    <w:p>
      <w:pPr>
        <w:spacing w:after="0" w:before="0"/>
      </w:pPr>
      <w:r>
        <w:rPr>
          <w:b w:val="0"/>
          <w:i w:val="0"/>
          <w:sz w:val="21"/>
        </w:rPr>
        <w:t>Solution: Piaget's preoperational stage (about 2-7 years) features symbolic play, egocentrism, and pre-logical thinking. Sensorimotor is 0-2 years, concrete operational is 7-11 years, and formal operational begins around 11-12 years.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which type of study does the investigator follow a group of people forward in time to see who develops the outcome?</w:t>
      </w:r>
    </w:p>
    <w:p>
      <w:pPr>
        <w:spacing w:after="0" w:before="0"/>
      </w:pPr>
      <w:r>
        <w:rPr>
          <w:b w:val="0"/>
          <w:i w:val="0"/>
          <w:sz w:val="22"/>
        </w:rPr>
        <w:t>(a) Cohort study</w:t>
      </w:r>
    </w:p>
    <w:p>
      <w:pPr>
        <w:spacing w:after="0" w:before="0"/>
      </w:pPr>
      <w:r>
        <w:rPr>
          <w:b w:val="0"/>
          <w:i w:val="0"/>
          <w:sz w:val="22"/>
        </w:rPr>
        <w:t>(b) Cross-sectional study</w:t>
      </w:r>
    </w:p>
    <w:p>
      <w:pPr>
        <w:spacing w:after="0" w:before="0"/>
      </w:pPr>
      <w:r>
        <w:rPr>
          <w:b w:val="0"/>
          <w:i w:val="0"/>
          <w:sz w:val="22"/>
        </w:rPr>
        <w:t>(c) Case-control study</w:t>
      </w:r>
    </w:p>
    <w:p>
      <w:pPr>
        <w:spacing w:after="0" w:before="0"/>
      </w:pPr>
      <w:r>
        <w:rPr>
          <w:b w:val="0"/>
          <w:i w:val="0"/>
          <w:sz w:val="22"/>
        </w:rPr>
        <w:t>(d) Case series</w:t>
      </w:r>
    </w:p>
    <w:p>
      <w:pPr>
        <w:spacing w:after="0" w:before="40"/>
      </w:pPr>
      <w:r>
        <w:rPr>
          <w:b/>
          <w:i w:val="0"/>
          <w:sz w:val="22"/>
        </w:rPr>
        <w:t>Answer: a</w:t>
      </w:r>
    </w:p>
    <w:p>
      <w:pPr>
        <w:spacing w:after="0" w:before="0"/>
      </w:pPr>
      <w:r>
        <w:rPr>
          <w:b w:val="0"/>
          <w:i w:val="0"/>
          <w:sz w:val="21"/>
        </w:rPr>
        <w:t>Solution: A cohort study follows subjects forward in time from exposure to outcome (prospective). Case-control studies look backward from outcome to exposure; cross-sectional studies measure exposure and outcome at one point.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Before starting a teaching session, the nurse educator assesses the learners' existing knowledge, literacy, and motivation. This step is known as:</w:t>
      </w:r>
    </w:p>
    <w:p>
      <w:pPr>
        <w:spacing w:after="0" w:before="0"/>
      </w:pPr>
      <w:r>
        <w:rPr>
          <w:b w:val="0"/>
          <w:i w:val="0"/>
          <w:sz w:val="22"/>
        </w:rPr>
        <w:t>(a) Assessing learning readiness and needs</w:t>
      </w:r>
    </w:p>
    <w:p>
      <w:pPr>
        <w:spacing w:after="0" w:before="0"/>
      </w:pPr>
      <w:r>
        <w:rPr>
          <w:b w:val="0"/>
          <w:i w:val="0"/>
          <w:sz w:val="22"/>
        </w:rPr>
        <w:t>(b) Summative evaluation</w:t>
      </w:r>
    </w:p>
    <w:p>
      <w:pPr>
        <w:spacing w:after="0" w:before="0"/>
      </w:pPr>
      <w:r>
        <w:rPr>
          <w:b w:val="0"/>
          <w:i w:val="0"/>
          <w:sz w:val="22"/>
        </w:rPr>
        <w:t>(c) Curriculum planning only</w:t>
      </w:r>
    </w:p>
    <w:p>
      <w:pPr>
        <w:spacing w:after="0" w:before="0"/>
      </w:pPr>
      <w:r>
        <w:rPr>
          <w:b w:val="0"/>
          <w:i w:val="0"/>
          <w:sz w:val="22"/>
        </w:rPr>
        <w:t>(d) Peer review</w:t>
      </w:r>
    </w:p>
    <w:p>
      <w:pPr>
        <w:spacing w:after="0" w:before="40"/>
      </w:pPr>
      <w:r>
        <w:rPr>
          <w:b/>
          <w:i w:val="0"/>
          <w:sz w:val="22"/>
        </w:rPr>
        <w:t>Answer: a</w:t>
      </w:r>
    </w:p>
    <w:p>
      <w:pPr>
        <w:spacing w:after="0" w:before="0"/>
      </w:pPr>
      <w:r>
        <w:rPr>
          <w:b w:val="0"/>
          <w:i w:val="0"/>
          <w:sz w:val="21"/>
        </w:rPr>
        <w:t>Solution: Assessing readiness (prior knowledge, literacy, motivation, and learning needs) is the essential first step of the teaching-learning process; it shapes objectives, content, and methods. Evaluation comes after teaching.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nursing action is most important to protect client confidentiality when using an electronic health record (EHR)?</w:t>
      </w:r>
    </w:p>
    <w:p>
      <w:pPr>
        <w:spacing w:after="0" w:before="0"/>
      </w:pPr>
      <w:r>
        <w:rPr>
          <w:b w:val="0"/>
          <w:i w:val="0"/>
          <w:sz w:val="22"/>
        </w:rPr>
        <w:t>(a) Log off or lock the workstation whenever leaving it and never share passwords</w:t>
      </w:r>
    </w:p>
    <w:p>
      <w:pPr>
        <w:spacing w:after="0" w:before="0"/>
      </w:pPr>
      <w:r>
        <w:rPr>
          <w:b w:val="0"/>
          <w:i w:val="0"/>
          <w:sz w:val="22"/>
        </w:rPr>
        <w:t>(b) Share the password with the ward clerk for coverage</w:t>
      </w:r>
    </w:p>
    <w:p>
      <w:pPr>
        <w:spacing w:after="0" w:before="0"/>
      </w:pPr>
      <w:r>
        <w:rPr>
          <w:b w:val="0"/>
          <w:i w:val="0"/>
          <w:sz w:val="22"/>
        </w:rPr>
        <w:t>(c) Leave the client's record open on the screen for the next shift</w:t>
      </w:r>
    </w:p>
    <w:p>
      <w:pPr>
        <w:spacing w:after="0" w:before="0"/>
      </w:pPr>
      <w:r>
        <w:rPr>
          <w:b w:val="0"/>
          <w:i w:val="0"/>
          <w:sz w:val="22"/>
        </w:rPr>
        <w:t>(d) Print records and leave them at the nurses' station</w:t>
      </w:r>
    </w:p>
    <w:p>
      <w:pPr>
        <w:spacing w:after="0" w:before="40"/>
      </w:pPr>
      <w:r>
        <w:rPr>
          <w:b/>
          <w:i w:val="0"/>
          <w:sz w:val="22"/>
        </w:rPr>
        <w:t>Answer: a</w:t>
      </w:r>
    </w:p>
    <w:p>
      <w:pPr>
        <w:spacing w:after="0" w:before="0"/>
      </w:pPr>
      <w:r>
        <w:rPr>
          <w:b w:val="0"/>
          <w:i w:val="0"/>
          <w:sz w:val="21"/>
        </w:rPr>
        <w:t>Solution: Protecting EHR confidentiality requires individual passwords, locking/logging off unattended terminals, and not sharing credentials. Leaving screens or printed records accessible violates confidentiality.</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