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food handler develops jaundice, fatigue, and dark urine, and tests positive for hepatitis A. Which statement about this infection is correct?</w:t>
      </w:r>
    </w:p>
    <w:p>
      <w:pPr>
        <w:spacing w:after="0" w:before="0"/>
      </w:pPr>
      <w:r>
        <w:rPr>
          <w:b w:val="0"/>
          <w:i w:val="0"/>
          <w:sz w:val="22"/>
        </w:rPr>
        <w:t>(a) It is transmitted by the fecal-oral route, and food handlers should not prepare food while infectious</w:t>
      </w:r>
    </w:p>
    <w:p>
      <w:pPr>
        <w:spacing w:after="0" w:before="0"/>
      </w:pPr>
      <w:r>
        <w:rPr>
          <w:b w:val="0"/>
          <w:i w:val="0"/>
          <w:sz w:val="22"/>
        </w:rPr>
        <w:t>(b) It is transmitted only by blood transfusion</w:t>
      </w:r>
    </w:p>
    <w:p>
      <w:pPr>
        <w:spacing w:after="0" w:before="0"/>
      </w:pPr>
      <w:r>
        <w:rPr>
          <w:b w:val="0"/>
          <w:i w:val="0"/>
          <w:sz w:val="22"/>
        </w:rPr>
        <w:t>(c) It becomes a chronic lifelong infection in most adults</w:t>
      </w:r>
    </w:p>
    <w:p>
      <w:pPr>
        <w:spacing w:after="0" w:before="0"/>
      </w:pPr>
      <w:r>
        <w:rPr>
          <w:b w:val="0"/>
          <w:i w:val="0"/>
          <w:sz w:val="22"/>
        </w:rPr>
        <w:t>(d) It requires airborne isolation precautions</w:t>
      </w:r>
    </w:p>
    <w:p>
      <w:pPr>
        <w:spacing w:after="0" w:before="40"/>
      </w:pPr>
      <w:r>
        <w:rPr>
          <w:b/>
          <w:i w:val="0"/>
          <w:sz w:val="22"/>
        </w:rPr>
        <w:t>Answer: a</w:t>
      </w:r>
    </w:p>
    <w:p>
      <w:pPr>
        <w:spacing w:after="0" w:before="0"/>
      </w:pPr>
      <w:r>
        <w:rPr>
          <w:b w:val="0"/>
          <w:i w:val="0"/>
          <w:sz w:val="21"/>
        </w:rPr>
        <w:t>Solution: Hepatitis A is transmitted by the fecal-oral route (contaminated food/water); infected food handlers can spread it and must be excluded from food preparation. It is an acute, self-limiting infection, not chronic, and does not require airborne precautions.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suspected appendicitis has pain that started near the umbilicus and shifted to the right lower quadrant with tenderness at McBurney's point. Which nursing action is contraindicated?</w:t>
      </w:r>
    </w:p>
    <w:p>
      <w:pPr>
        <w:spacing w:after="0" w:before="0"/>
      </w:pPr>
      <w:r>
        <w:rPr>
          <w:b w:val="0"/>
          <w:i w:val="0"/>
          <w:sz w:val="22"/>
        </w:rPr>
        <w:t>(a) Applying heat to the abdomen and giving a laxative</w:t>
      </w:r>
    </w:p>
    <w:p>
      <w:pPr>
        <w:spacing w:after="0" w:before="0"/>
      </w:pPr>
      <w:r>
        <w:rPr>
          <w:b w:val="0"/>
          <w:i w:val="0"/>
          <w:sz w:val="22"/>
        </w:rPr>
        <w:t>(b) Keeping the client NPO and preparing for surgery</w:t>
      </w:r>
    </w:p>
    <w:p>
      <w:pPr>
        <w:spacing w:after="0" w:before="0"/>
      </w:pPr>
      <w:r>
        <w:rPr>
          <w:b w:val="0"/>
          <w:i w:val="0"/>
          <w:sz w:val="22"/>
        </w:rPr>
        <w:t>(c) Monitoring vital signs and pain level</w:t>
      </w:r>
    </w:p>
    <w:p>
      <w:pPr>
        <w:spacing w:after="0" w:before="0"/>
      </w:pPr>
      <w:r>
        <w:rPr>
          <w:b w:val="0"/>
          <w:i w:val="0"/>
          <w:sz w:val="22"/>
        </w:rPr>
        <w:t>(d) Placing the client in a comfortable position with knees flexed</w:t>
      </w:r>
    </w:p>
    <w:p>
      <w:pPr>
        <w:spacing w:after="0" w:before="40"/>
      </w:pPr>
      <w:r>
        <w:rPr>
          <w:b/>
          <w:i w:val="0"/>
          <w:sz w:val="22"/>
        </w:rPr>
        <w:t>Answer: a</w:t>
      </w:r>
    </w:p>
    <w:p>
      <w:pPr>
        <w:spacing w:after="0" w:before="0"/>
      </w:pPr>
      <w:r>
        <w:rPr>
          <w:b w:val="0"/>
          <w:i w:val="0"/>
          <w:sz w:val="21"/>
        </w:rPr>
        <w:t>Solution: In suspected appendicitis, heat application and laxatives/enemas are contraindicated because they increase the risk of perforation. NPO status, IV fluids, monitoring, and a comfortable flexed position are appropriate while awaiting surgery.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inflammatory bowel disease has continuous inflammation starting in the rectum with bloody diarrhea and only the mucosa involved. This pattern is most consistent with:</w:t>
      </w:r>
    </w:p>
    <w:p>
      <w:pPr>
        <w:spacing w:after="0" w:before="0"/>
      </w:pPr>
      <w:r>
        <w:rPr>
          <w:b w:val="0"/>
          <w:i w:val="0"/>
          <w:sz w:val="22"/>
        </w:rPr>
        <w:t>(a) Ulcerative colitis</w:t>
      </w:r>
    </w:p>
    <w:p>
      <w:pPr>
        <w:spacing w:after="0" w:before="0"/>
      </w:pPr>
      <w:r>
        <w:rPr>
          <w:b w:val="0"/>
          <w:i w:val="0"/>
          <w:sz w:val="22"/>
        </w:rPr>
        <w:t>(b) Crohn disease</w:t>
      </w:r>
    </w:p>
    <w:p>
      <w:pPr>
        <w:spacing w:after="0" w:before="0"/>
      </w:pPr>
      <w:r>
        <w:rPr>
          <w:b w:val="0"/>
          <w:i w:val="0"/>
          <w:sz w:val="22"/>
        </w:rPr>
        <w:t>(c) Diverticulitis</w:t>
      </w:r>
    </w:p>
    <w:p>
      <w:pPr>
        <w:spacing w:after="0" w:before="0"/>
      </w:pPr>
      <w:r>
        <w:rPr>
          <w:b w:val="0"/>
          <w:i w:val="0"/>
          <w:sz w:val="22"/>
        </w:rPr>
        <w:t>(d) Irritable bowel syndrome</w:t>
      </w:r>
    </w:p>
    <w:p>
      <w:pPr>
        <w:spacing w:after="0" w:before="40"/>
      </w:pPr>
      <w:r>
        <w:rPr>
          <w:b/>
          <w:i w:val="0"/>
          <w:sz w:val="22"/>
        </w:rPr>
        <w:t>Answer: a</w:t>
      </w:r>
    </w:p>
    <w:p>
      <w:pPr>
        <w:spacing w:after="0" w:before="0"/>
      </w:pPr>
      <w:r>
        <w:rPr>
          <w:b w:val="0"/>
          <w:i w:val="0"/>
          <w:sz w:val="21"/>
        </w:rPr>
        <w:t>Solution: Ulcerative colitis causes continuous mucosal inflammation beginning in the rectum with bloody diarrhea. Crohn disease causes patchy, transmural inflammation anywhere in the GI tract, often with fistulas; IBS has no inflammation.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admitted with a hip fracture after a fall and is scheduled for surgery. Which nursing intervention is correct preoperatively?</w:t>
      </w:r>
    </w:p>
    <w:p>
      <w:pPr>
        <w:spacing w:after="0" w:before="0"/>
      </w:pPr>
      <w:r>
        <w:rPr>
          <w:b w:val="0"/>
          <w:i w:val="0"/>
          <w:sz w:val="22"/>
        </w:rPr>
        <w:t>(a) Maintain the affected leg in a neutral position with abduction and avoid internal rotation</w:t>
      </w:r>
    </w:p>
    <w:p>
      <w:pPr>
        <w:spacing w:after="0" w:before="0"/>
      </w:pPr>
      <w:r>
        <w:rPr>
          <w:b w:val="0"/>
          <w:i w:val="0"/>
          <w:sz w:val="22"/>
        </w:rPr>
        <w:t>(b) Encourage the client to cross the legs for comfort</w:t>
      </w:r>
    </w:p>
    <w:p>
      <w:pPr>
        <w:spacing w:after="0" w:before="0"/>
      </w:pPr>
      <w:r>
        <w:rPr>
          <w:b w:val="0"/>
          <w:i w:val="0"/>
          <w:sz w:val="22"/>
        </w:rPr>
        <w:t>(c) Place a pillow under the knee to flex the hip</w:t>
      </w:r>
    </w:p>
    <w:p>
      <w:pPr>
        <w:spacing w:after="0" w:before="0"/>
      </w:pPr>
      <w:r>
        <w:rPr>
          <w:b w:val="0"/>
          <w:i w:val="0"/>
          <w:sz w:val="22"/>
        </w:rPr>
        <w:t>(d) Allow the client to bear weight as tolerated</w:t>
      </w:r>
    </w:p>
    <w:p>
      <w:pPr>
        <w:spacing w:after="0" w:before="40"/>
      </w:pPr>
      <w:r>
        <w:rPr>
          <w:b/>
          <w:i w:val="0"/>
          <w:sz w:val="22"/>
        </w:rPr>
        <w:t>Answer: a</w:t>
      </w:r>
    </w:p>
    <w:p>
      <w:pPr>
        <w:spacing w:after="0" w:before="0"/>
      </w:pPr>
      <w:r>
        <w:rPr>
          <w:b w:val="0"/>
          <w:i w:val="0"/>
          <w:sz w:val="21"/>
        </w:rPr>
        <w:t>Solution: Preoperatively, the fractured hip is kept in neutral alignment (abduction, no internal rotation, no crossing of legs) to prevent further displacement and pain. Weight-bearing and hip flexion are avoided until surgical fixation.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older adult falls on an outstretched hand and now has a 'dinner fork' deformity of the wrist. Which fracture is most likely?</w:t>
      </w:r>
    </w:p>
    <w:p>
      <w:pPr>
        <w:spacing w:after="0" w:before="0"/>
      </w:pPr>
      <w:r>
        <w:rPr>
          <w:b w:val="0"/>
          <w:i w:val="0"/>
          <w:sz w:val="22"/>
        </w:rPr>
        <w:t>(a) Colles fracture</w:t>
      </w:r>
    </w:p>
    <w:p>
      <w:pPr>
        <w:spacing w:after="0" w:before="0"/>
      </w:pPr>
      <w:r>
        <w:rPr>
          <w:b w:val="0"/>
          <w:i w:val="0"/>
          <w:sz w:val="22"/>
        </w:rPr>
        <w:t>(b) Clavicle fracture</w:t>
      </w:r>
    </w:p>
    <w:p>
      <w:pPr>
        <w:spacing w:after="0" w:before="0"/>
      </w:pPr>
      <w:r>
        <w:rPr>
          <w:b w:val="0"/>
          <w:i w:val="0"/>
          <w:sz w:val="22"/>
        </w:rPr>
        <w:t>(c) Scaphoid fracture</w:t>
      </w:r>
    </w:p>
    <w:p>
      <w:pPr>
        <w:spacing w:after="0" w:before="0"/>
      </w:pPr>
      <w:r>
        <w:rPr>
          <w:b w:val="0"/>
          <w:i w:val="0"/>
          <w:sz w:val="22"/>
        </w:rPr>
        <w:t>(d) Supracondylar fracture</w:t>
      </w:r>
    </w:p>
    <w:p>
      <w:pPr>
        <w:spacing w:after="0" w:before="40"/>
      </w:pPr>
      <w:r>
        <w:rPr>
          <w:b/>
          <w:i w:val="0"/>
          <w:sz w:val="22"/>
        </w:rPr>
        <w:t>Answer: a</w:t>
      </w:r>
    </w:p>
    <w:p>
      <w:pPr>
        <w:spacing w:after="0" w:before="0"/>
      </w:pPr>
      <w:r>
        <w:rPr>
          <w:b w:val="0"/>
          <w:i w:val="0"/>
          <w:sz w:val="21"/>
        </w:rPr>
        <w:t>Solution: A Colles fracture (distal radius) from a fall on an outstretched hand causes a dinner-fork deformity. Clavicle fractures occur from falls on the shoulder; scaphoid fractures present with snuffbox tenderness; supracondylar fractures occur in children.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 full-thickness burn on the forearm that is dry, leathery, and painless. Which statement about this burn is correct?</w:t>
      </w:r>
    </w:p>
    <w:p>
      <w:pPr>
        <w:spacing w:after="0" w:before="0"/>
      </w:pPr>
      <w:r>
        <w:rPr>
          <w:b w:val="0"/>
          <w:i w:val="0"/>
          <w:sz w:val="22"/>
        </w:rPr>
        <w:t>(a) The nerve endings are destroyed, so the wound is painless; grafting will likely be needed</w:t>
      </w:r>
    </w:p>
    <w:p>
      <w:pPr>
        <w:spacing w:after="0" w:before="0"/>
      </w:pPr>
      <w:r>
        <w:rPr>
          <w:b w:val="0"/>
          <w:i w:val="0"/>
          <w:sz w:val="22"/>
        </w:rPr>
        <w:t>(b) The burn is superficial and will heal in days</w:t>
      </w:r>
    </w:p>
    <w:p>
      <w:pPr>
        <w:spacing w:after="0" w:before="0"/>
      </w:pPr>
      <w:r>
        <w:rPr>
          <w:b w:val="0"/>
          <w:i w:val="0"/>
          <w:sz w:val="22"/>
        </w:rPr>
        <w:t>(c) Blistering indicates a deeper injury</w:t>
      </w:r>
    </w:p>
    <w:p>
      <w:pPr>
        <w:spacing w:after="0" w:before="0"/>
      </w:pPr>
      <w:r>
        <w:rPr>
          <w:b w:val="0"/>
          <w:i w:val="0"/>
          <w:sz w:val="22"/>
        </w:rPr>
        <w:t>(d) Pain is severe because nerve endings are exposed</w:t>
      </w:r>
    </w:p>
    <w:p>
      <w:pPr>
        <w:spacing w:after="0" w:before="40"/>
      </w:pPr>
      <w:r>
        <w:rPr>
          <w:b/>
          <w:i w:val="0"/>
          <w:sz w:val="22"/>
        </w:rPr>
        <w:t>Answer: a</w:t>
      </w:r>
    </w:p>
    <w:p>
      <w:pPr>
        <w:spacing w:after="0" w:before="0"/>
      </w:pPr>
      <w:r>
        <w:rPr>
          <w:b w:val="0"/>
          <w:i w:val="0"/>
          <w:sz w:val="21"/>
        </w:rPr>
        <w:t>Solution: Full-thickness burns destroy all skin layers including nerve endings, producing a dry, leathery, painless, charred appearance; they require skin grafting. Superficial burns are painful and blistering.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Before administering digoxin, the nurse counts the apical pulse for one full minute. Which finding requires withholding the dose and notifying the provider?</w:t>
      </w:r>
    </w:p>
    <w:p>
      <w:pPr>
        <w:spacing w:after="0" w:before="0"/>
      </w:pPr>
      <w:r>
        <w:rPr>
          <w:b w:val="0"/>
          <w:i w:val="0"/>
          <w:sz w:val="22"/>
        </w:rPr>
        <w:t>(a) Apical rate of 56 beats per minute</w:t>
      </w:r>
    </w:p>
    <w:p>
      <w:pPr>
        <w:spacing w:after="0" w:before="0"/>
      </w:pPr>
      <w:r>
        <w:rPr>
          <w:b w:val="0"/>
          <w:i w:val="0"/>
          <w:sz w:val="22"/>
        </w:rPr>
        <w:t>(b) Apical rate of 72 beats per minute with a regular rhythm</w:t>
      </w:r>
    </w:p>
    <w:p>
      <w:pPr>
        <w:spacing w:after="0" w:before="0"/>
      </w:pPr>
      <w:r>
        <w:rPr>
          <w:b w:val="0"/>
          <w:i w:val="0"/>
          <w:sz w:val="22"/>
        </w:rPr>
        <w:t>(c) Apical rate of 88 beats per minute</w:t>
      </w:r>
    </w:p>
    <w:p>
      <w:pPr>
        <w:spacing w:after="0" w:before="0"/>
      </w:pPr>
      <w:r>
        <w:rPr>
          <w:b w:val="0"/>
          <w:i w:val="0"/>
          <w:sz w:val="22"/>
        </w:rPr>
        <w:t>(d) Apical rate of 64 beats per minute</w:t>
      </w:r>
    </w:p>
    <w:p>
      <w:pPr>
        <w:spacing w:after="0" w:before="40"/>
      </w:pPr>
      <w:r>
        <w:rPr>
          <w:b/>
          <w:i w:val="0"/>
          <w:sz w:val="22"/>
        </w:rPr>
        <w:t>Answer: a</w:t>
      </w:r>
    </w:p>
    <w:p>
      <w:pPr>
        <w:spacing w:after="0" w:before="0"/>
      </w:pPr>
      <w:r>
        <w:rPr>
          <w:b w:val="0"/>
          <w:i w:val="0"/>
          <w:sz w:val="21"/>
        </w:rPr>
        <w:t>Solution: Digoxin is withheld and the provider notified if the apical pulse is below 60 bpm in an adult (bradycardia is a sign of toxicity) or if the rhythm is irregular. Rates in the 60s-80s with regular rhythm are acceptable.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cuff size is correct when measuring blood pressure in an adult?</w:t>
      </w:r>
    </w:p>
    <w:p>
      <w:pPr>
        <w:spacing w:after="0" w:before="0"/>
      </w:pPr>
      <w:r>
        <w:rPr>
          <w:b w:val="0"/>
          <w:i w:val="0"/>
          <w:sz w:val="22"/>
        </w:rPr>
        <w:t>(a) The bladder of the cuff should encircle about 80% of the arm circumference</w:t>
      </w:r>
    </w:p>
    <w:p>
      <w:pPr>
        <w:spacing w:after="0" w:before="0"/>
      </w:pPr>
      <w:r>
        <w:rPr>
          <w:b w:val="0"/>
          <w:i w:val="0"/>
          <w:sz w:val="22"/>
        </w:rPr>
        <w:t>(b) Any cuff size can be used</w:t>
      </w:r>
    </w:p>
    <w:p>
      <w:pPr>
        <w:spacing w:after="0" w:before="0"/>
      </w:pPr>
      <w:r>
        <w:rPr>
          <w:b w:val="0"/>
          <w:i w:val="0"/>
          <w:sz w:val="22"/>
        </w:rPr>
        <w:t>(c) The cuff should cover only half of the upper arm</w:t>
      </w:r>
    </w:p>
    <w:p>
      <w:pPr>
        <w:spacing w:after="0" w:before="0"/>
      </w:pPr>
      <w:r>
        <w:rPr>
          <w:b w:val="0"/>
          <w:i w:val="0"/>
          <w:sz w:val="22"/>
        </w:rPr>
        <w:t>(d) The cuff is placed over the elbow crease</w:t>
      </w:r>
    </w:p>
    <w:p>
      <w:pPr>
        <w:spacing w:after="0" w:before="40"/>
      </w:pPr>
      <w:r>
        <w:rPr>
          <w:b/>
          <w:i w:val="0"/>
          <w:sz w:val="22"/>
        </w:rPr>
        <w:t>Answer: a</w:t>
      </w:r>
    </w:p>
    <w:p>
      <w:pPr>
        <w:spacing w:after="0" w:before="0"/>
      </w:pPr>
      <w:r>
        <w:rPr>
          <w:b w:val="0"/>
          <w:i w:val="0"/>
          <w:sz w:val="21"/>
        </w:rPr>
        <w:t>Solution: The cuff bladder should encircle at least 80% of the arm circumference (and cover two-thirds of the upper arm) for accurate readings. Too-small cuffs overestimate and too-large cuffs underestimate BP.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when teaching a client to use crutches with a non-weight-bearing gait?</w:t>
      </w:r>
    </w:p>
    <w:p>
      <w:pPr>
        <w:spacing w:after="0" w:before="0"/>
      </w:pPr>
      <w:r>
        <w:rPr>
          <w:b w:val="0"/>
          <w:i w:val="0"/>
          <w:sz w:val="22"/>
        </w:rPr>
        <w:t>(a) Advance both crutches and the affected leg together, then move the unaffected leg forward</w:t>
      </w:r>
    </w:p>
    <w:p>
      <w:pPr>
        <w:spacing w:after="0" w:before="0"/>
      </w:pPr>
      <w:r>
        <w:rPr>
          <w:b w:val="0"/>
          <w:i w:val="0"/>
          <w:sz w:val="22"/>
        </w:rPr>
        <w:t>(b) Move the unaffected leg first, then the crutches</w:t>
      </w:r>
    </w:p>
    <w:p>
      <w:pPr>
        <w:spacing w:after="0" w:before="0"/>
      </w:pPr>
      <w:r>
        <w:rPr>
          <w:b w:val="0"/>
          <w:i w:val="0"/>
          <w:sz w:val="22"/>
        </w:rPr>
        <w:t>(c) Let the crutches support all weight by resting the armpits on the pads</w:t>
      </w:r>
    </w:p>
    <w:p>
      <w:pPr>
        <w:spacing w:after="0" w:before="0"/>
      </w:pPr>
      <w:r>
        <w:rPr>
          <w:b w:val="0"/>
          <w:i w:val="0"/>
          <w:sz w:val="22"/>
        </w:rPr>
        <w:t>(d) Swing both legs forward together without support</w:t>
      </w:r>
    </w:p>
    <w:p>
      <w:pPr>
        <w:spacing w:after="0" w:before="40"/>
      </w:pPr>
      <w:r>
        <w:rPr>
          <w:b/>
          <w:i w:val="0"/>
          <w:sz w:val="22"/>
        </w:rPr>
        <w:t>Answer: a</w:t>
      </w:r>
    </w:p>
    <w:p>
      <w:pPr>
        <w:spacing w:after="0" w:before="0"/>
      </w:pPr>
      <w:r>
        <w:rPr>
          <w:b w:val="0"/>
          <w:i w:val="0"/>
          <w:sz w:val="21"/>
        </w:rPr>
        <w:t>Solution: In the three-point non-weight-bearing gait, both crutches and the affected (non-weight-bearing) leg advance together, then the strong leg moves forward. Crutch pads should not bear body weight (axillary nerve injury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early pregnancy, the nurse observes a bluish discoloration of the cervix and vagina. This sign is known as:</w:t>
      </w:r>
    </w:p>
    <w:p>
      <w:pPr>
        <w:spacing w:after="0" w:before="0"/>
      </w:pPr>
      <w:r>
        <w:rPr>
          <w:b w:val="0"/>
          <w:i w:val="0"/>
          <w:sz w:val="22"/>
        </w:rPr>
        <w:t>(a) Chadwick sign</w:t>
      </w:r>
    </w:p>
    <w:p>
      <w:pPr>
        <w:spacing w:after="0" w:before="0"/>
      </w:pPr>
      <w:r>
        <w:rPr>
          <w:b w:val="0"/>
          <w:i w:val="0"/>
          <w:sz w:val="22"/>
        </w:rPr>
        <w:t>(b) Hegar sign</w:t>
      </w:r>
    </w:p>
    <w:p>
      <w:pPr>
        <w:spacing w:after="0" w:before="0"/>
      </w:pPr>
      <w:r>
        <w:rPr>
          <w:b w:val="0"/>
          <w:i w:val="0"/>
          <w:sz w:val="22"/>
        </w:rPr>
        <w:t>(c) Goodell sign</w:t>
      </w:r>
    </w:p>
    <w:p>
      <w:pPr>
        <w:spacing w:after="0" w:before="0"/>
      </w:pPr>
      <w:r>
        <w:rPr>
          <w:b w:val="0"/>
          <w:i w:val="0"/>
          <w:sz w:val="22"/>
        </w:rPr>
        <w:t>(d) Braxton Hicks sign</w:t>
      </w:r>
    </w:p>
    <w:p>
      <w:pPr>
        <w:spacing w:after="0" w:before="40"/>
      </w:pPr>
      <w:r>
        <w:rPr>
          <w:b/>
          <w:i w:val="0"/>
          <w:sz w:val="22"/>
        </w:rPr>
        <w:t>Answer: a</w:t>
      </w:r>
    </w:p>
    <w:p>
      <w:pPr>
        <w:spacing w:after="0" w:before="0"/>
      </w:pPr>
      <w:r>
        <w:rPr>
          <w:b w:val="0"/>
          <w:i w:val="0"/>
          <w:sz w:val="21"/>
        </w:rPr>
        <w:t>Solution: Chadwick sign is the bluish-purple discoloration of the cervix/vagina from increased vascularity in early pregnancy. Hegar sign is softening of the lower uterine segment; Goodell sign is cervical softening.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On bimanual examination of a client at 8 weeks gestation, the nurse notes softening of the lower uterine segment. This finding is called:</w:t>
      </w:r>
    </w:p>
    <w:p>
      <w:pPr>
        <w:spacing w:after="0" w:before="0"/>
      </w:pPr>
      <w:r>
        <w:rPr>
          <w:b w:val="0"/>
          <w:i w:val="0"/>
          <w:sz w:val="22"/>
        </w:rPr>
        <w:t>(a) Hegar sign</w:t>
      </w:r>
    </w:p>
    <w:p>
      <w:pPr>
        <w:spacing w:after="0" w:before="0"/>
      </w:pPr>
      <w:r>
        <w:rPr>
          <w:b w:val="0"/>
          <w:i w:val="0"/>
          <w:sz w:val="22"/>
        </w:rPr>
        <w:t>(b) Chadwick sign</w:t>
      </w:r>
    </w:p>
    <w:p>
      <w:pPr>
        <w:spacing w:after="0" w:before="0"/>
      </w:pPr>
      <w:r>
        <w:rPr>
          <w:b w:val="0"/>
          <w:i w:val="0"/>
          <w:sz w:val="22"/>
        </w:rPr>
        <w:t>(c) McDonald sign</w:t>
      </w:r>
    </w:p>
    <w:p>
      <w:pPr>
        <w:spacing w:after="0" w:before="0"/>
      </w:pPr>
      <w:r>
        <w:rPr>
          <w:b w:val="0"/>
          <w:i w:val="0"/>
          <w:sz w:val="22"/>
        </w:rPr>
        <w:t>(d) Ballottement</w:t>
      </w:r>
    </w:p>
    <w:p>
      <w:pPr>
        <w:spacing w:after="0" w:before="40"/>
      </w:pPr>
      <w:r>
        <w:rPr>
          <w:b/>
          <w:i w:val="0"/>
          <w:sz w:val="22"/>
        </w:rPr>
        <w:t>Answer: a</w:t>
      </w:r>
    </w:p>
    <w:p>
      <w:pPr>
        <w:spacing w:after="0" w:before="0"/>
      </w:pPr>
      <w:r>
        <w:rPr>
          <w:b w:val="0"/>
          <w:i w:val="0"/>
          <w:sz w:val="21"/>
        </w:rPr>
        <w:t>Solution: Hegar sign is the softening of the lower uterine segment (isthmus) palpable around 6-12 weeks of pregnancy. Chadwick is cervical/vaginal discoloration, and ballottement is a later sign of fetal movement.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at 16 weeks gestation is scheduled for amniocentesis. Which statement about this procedure is correct?</w:t>
      </w:r>
    </w:p>
    <w:p>
      <w:pPr>
        <w:spacing w:after="0" w:before="0"/>
      </w:pPr>
      <w:r>
        <w:rPr>
          <w:b w:val="0"/>
          <w:i w:val="0"/>
          <w:sz w:val="22"/>
        </w:rPr>
        <w:t>(a) It is performed under ultrasound guidance to sample amniotic fluid for genetic and fetal assessment</w:t>
      </w:r>
    </w:p>
    <w:p>
      <w:pPr>
        <w:spacing w:after="0" w:before="0"/>
      </w:pPr>
      <w:r>
        <w:rPr>
          <w:b w:val="0"/>
          <w:i w:val="0"/>
          <w:sz w:val="22"/>
        </w:rPr>
        <w:t>(b) It is used to measure maternal blood pressure</w:t>
      </w:r>
    </w:p>
    <w:p>
      <w:pPr>
        <w:spacing w:after="0" w:before="0"/>
      </w:pPr>
      <w:r>
        <w:rPr>
          <w:b w:val="0"/>
          <w:i w:val="0"/>
          <w:sz w:val="22"/>
        </w:rPr>
        <w:t>(c) It replaces the need for all ultrasound scans</w:t>
      </w:r>
    </w:p>
    <w:p>
      <w:pPr>
        <w:spacing w:after="0" w:before="0"/>
      </w:pPr>
      <w:r>
        <w:rPr>
          <w:b w:val="0"/>
          <w:i w:val="0"/>
          <w:sz w:val="22"/>
        </w:rPr>
        <w:t>(d) It is completely risk-free and needs no consent</w:t>
      </w:r>
    </w:p>
    <w:p>
      <w:pPr>
        <w:spacing w:after="0" w:before="40"/>
      </w:pPr>
      <w:r>
        <w:rPr>
          <w:b/>
          <w:i w:val="0"/>
          <w:sz w:val="22"/>
        </w:rPr>
        <w:t>Answer: a</w:t>
      </w:r>
    </w:p>
    <w:p>
      <w:pPr>
        <w:spacing w:after="0" w:before="0"/>
      </w:pPr>
      <w:r>
        <w:rPr>
          <w:b w:val="0"/>
          <w:i w:val="0"/>
          <w:sz w:val="21"/>
        </w:rPr>
        <w:t>Solution: Amniocentesis uses ultrasound guidance to withdraw amniotic fluid for genetic testing (karyotype, AFP) and fetal lung maturity. It carries small risks (infection, leakage, miscarriage), and informed consent is obtained.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characteristic is most typical of antisocial personality disorder?</w:t>
      </w:r>
    </w:p>
    <w:p>
      <w:pPr>
        <w:spacing w:after="0" w:before="0"/>
      </w:pPr>
      <w:r>
        <w:rPr>
          <w:b w:val="0"/>
          <w:i w:val="0"/>
          <w:sz w:val="22"/>
        </w:rPr>
        <w:t>(a) Persistent disregard for and violation of the rights of others, with lack of remorse</w:t>
      </w:r>
    </w:p>
    <w:p>
      <w:pPr>
        <w:spacing w:after="0" w:before="0"/>
      </w:pPr>
      <w:r>
        <w:rPr>
          <w:b w:val="0"/>
          <w:i w:val="0"/>
          <w:sz w:val="22"/>
        </w:rPr>
        <w:t>(b) Excessive need to be cared for and fear of separation</w:t>
      </w:r>
    </w:p>
    <w:p>
      <w:pPr>
        <w:spacing w:after="0" w:before="0"/>
      </w:pPr>
      <w:r>
        <w:rPr>
          <w:b w:val="0"/>
          <w:i w:val="0"/>
          <w:sz w:val="22"/>
        </w:rPr>
        <w:t>(c) Extreme sensitivity to criticism with social withdrawal</w:t>
      </w:r>
    </w:p>
    <w:p>
      <w:pPr>
        <w:spacing w:after="0" w:before="0"/>
      </w:pPr>
      <w:r>
        <w:rPr>
          <w:b w:val="0"/>
          <w:i w:val="0"/>
          <w:sz w:val="22"/>
        </w:rPr>
        <w:t>(d) Preoccupation with physical symptoms</w:t>
      </w:r>
    </w:p>
    <w:p>
      <w:pPr>
        <w:spacing w:after="0" w:before="40"/>
      </w:pPr>
      <w:r>
        <w:rPr>
          <w:b/>
          <w:i w:val="0"/>
          <w:sz w:val="22"/>
        </w:rPr>
        <w:t>Answer: a</w:t>
      </w:r>
    </w:p>
    <w:p>
      <w:pPr>
        <w:spacing w:after="0" w:before="0"/>
      </w:pPr>
      <w:r>
        <w:rPr>
          <w:b w:val="0"/>
          <w:i w:val="0"/>
          <w:sz w:val="21"/>
        </w:rPr>
        <w:t>Solution: Antisocial personality disorder features a pattern of violating others' rights, deceitfulness, impulsivity, and lack of remorse. Dependent PD needs excessive care; avoidant PD fears criticism; somatic symptom disorder focuses on physical complaints.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repeatedly fabricates symptoms of illness and seeks hospitalization, with no external reward such as money. Which disorder is most likely?</w:t>
      </w:r>
    </w:p>
    <w:p>
      <w:pPr>
        <w:spacing w:after="0" w:before="0"/>
      </w:pPr>
      <w:r>
        <w:rPr>
          <w:b w:val="0"/>
          <w:i w:val="0"/>
          <w:sz w:val="22"/>
        </w:rPr>
        <w:t>(a) Factitious disorder</w:t>
      </w:r>
    </w:p>
    <w:p>
      <w:pPr>
        <w:spacing w:after="0" w:before="0"/>
      </w:pPr>
      <w:r>
        <w:rPr>
          <w:b w:val="0"/>
          <w:i w:val="0"/>
          <w:sz w:val="22"/>
        </w:rPr>
        <w:t>(b) Malingering</w:t>
      </w:r>
    </w:p>
    <w:p>
      <w:pPr>
        <w:spacing w:after="0" w:before="0"/>
      </w:pPr>
      <w:r>
        <w:rPr>
          <w:b w:val="0"/>
          <w:i w:val="0"/>
          <w:sz w:val="22"/>
        </w:rPr>
        <w:t>(c) Conversion disorder</w:t>
      </w:r>
    </w:p>
    <w:p>
      <w:pPr>
        <w:spacing w:after="0" w:before="0"/>
      </w:pPr>
      <w:r>
        <w:rPr>
          <w:b w:val="0"/>
          <w:i w:val="0"/>
          <w:sz w:val="22"/>
        </w:rPr>
        <w:t>(d) Somatic symptom disorder</w:t>
      </w:r>
    </w:p>
    <w:p>
      <w:pPr>
        <w:spacing w:after="0" w:before="40"/>
      </w:pPr>
      <w:r>
        <w:rPr>
          <w:b/>
          <w:i w:val="0"/>
          <w:sz w:val="22"/>
        </w:rPr>
        <w:t>Answer: a</w:t>
      </w:r>
    </w:p>
    <w:p>
      <w:pPr>
        <w:spacing w:after="0" w:before="0"/>
      </w:pPr>
      <w:r>
        <w:rPr>
          <w:b w:val="0"/>
          <w:i w:val="0"/>
          <w:sz w:val="21"/>
        </w:rPr>
        <w:t>Solution: Factitious disorder involves intentionally producing or feigning symptoms to assume the sick role, without external incentives. Malingering has an external goal (compensation, avoidance); conversion has unconscious neurologic symptoms.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depression takes a large overdose of a tricyclic antidepressant. Which finding is most characteristic of tricyclic toxicity?</w:t>
      </w:r>
    </w:p>
    <w:p>
      <w:pPr>
        <w:spacing w:after="0" w:before="0"/>
      </w:pPr>
      <w:r>
        <w:rPr>
          <w:b w:val="0"/>
          <w:i w:val="0"/>
          <w:sz w:val="22"/>
        </w:rPr>
        <w:t>(a) Cardiac dysrhythmias and anticholinergic effects such as dry mouth and blurred vision</w:t>
      </w:r>
    </w:p>
    <w:p>
      <w:pPr>
        <w:spacing w:after="0" w:before="0"/>
      </w:pPr>
      <w:r>
        <w:rPr>
          <w:b w:val="0"/>
          <w:i w:val="0"/>
          <w:sz w:val="22"/>
        </w:rPr>
        <w:t>(b) Serotonin syndrome with muscle twitching</w:t>
      </w:r>
    </w:p>
    <w:p>
      <w:pPr>
        <w:spacing w:after="0" w:before="0"/>
      </w:pPr>
      <w:r>
        <w:rPr>
          <w:b w:val="0"/>
          <w:i w:val="0"/>
          <w:sz w:val="22"/>
        </w:rPr>
        <w:t>(c) Extrapyramidal rigidity</w:t>
      </w:r>
    </w:p>
    <w:p>
      <w:pPr>
        <w:spacing w:after="0" w:before="0"/>
      </w:pPr>
      <w:r>
        <w:rPr>
          <w:b w:val="0"/>
          <w:i w:val="0"/>
          <w:sz w:val="22"/>
        </w:rPr>
        <w:t>(d) Respiratory alkalosis</w:t>
      </w:r>
    </w:p>
    <w:p>
      <w:pPr>
        <w:spacing w:after="0" w:before="40"/>
      </w:pPr>
      <w:r>
        <w:rPr>
          <w:b/>
          <w:i w:val="0"/>
          <w:sz w:val="22"/>
        </w:rPr>
        <w:t>Answer: a</w:t>
      </w:r>
    </w:p>
    <w:p>
      <w:pPr>
        <w:spacing w:after="0" w:before="0"/>
      </w:pPr>
      <w:r>
        <w:rPr>
          <w:b w:val="0"/>
          <w:i w:val="0"/>
          <w:sz w:val="21"/>
        </w:rPr>
        <w:t>Solution: TCA overdose causes cardiac toxicity (wide QRS, dysrhythmias), CNS depression, and anticholinergic effects (dry mouth, blurred vision, urinary retention). Management is supportive with cardiac monitoring and sodium bicarbonate for QRS widening.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regarding a child's car seat?</w:t>
      </w:r>
    </w:p>
    <w:p>
      <w:pPr>
        <w:spacing w:after="0" w:before="0"/>
      </w:pPr>
      <w:r>
        <w:rPr>
          <w:b w:val="0"/>
          <w:i w:val="0"/>
          <w:sz w:val="22"/>
        </w:rPr>
        <w:t>(a) Keep infants in a rear-facing seat in the back seat until at least 2 years of age</w:t>
      </w:r>
    </w:p>
    <w:p>
      <w:pPr>
        <w:spacing w:after="0" w:before="0"/>
      </w:pPr>
      <w:r>
        <w:rPr>
          <w:b w:val="0"/>
          <w:i w:val="0"/>
          <w:sz w:val="22"/>
        </w:rPr>
        <w:t>(b) Use a forward-facing seat from birth</w:t>
      </w:r>
    </w:p>
    <w:p>
      <w:pPr>
        <w:spacing w:after="0" w:before="0"/>
      </w:pPr>
      <w:r>
        <w:rPr>
          <w:b w:val="0"/>
          <w:i w:val="0"/>
          <w:sz w:val="22"/>
        </w:rPr>
        <w:t>(c) Place the rear-facing seat in the front with the airbag on</w:t>
      </w:r>
    </w:p>
    <w:p>
      <w:pPr>
        <w:spacing w:after="0" w:before="0"/>
      </w:pPr>
      <w:r>
        <w:rPr>
          <w:b w:val="0"/>
          <w:i w:val="0"/>
          <w:sz w:val="22"/>
        </w:rPr>
        <w:t>(d) Switch to a booster seat as soon as the child is 1 year old</w:t>
      </w:r>
    </w:p>
    <w:p>
      <w:pPr>
        <w:spacing w:after="0" w:before="40"/>
      </w:pPr>
      <w:r>
        <w:rPr>
          <w:b/>
          <w:i w:val="0"/>
          <w:sz w:val="22"/>
        </w:rPr>
        <w:t>Answer: a</w:t>
      </w:r>
    </w:p>
    <w:p>
      <w:pPr>
        <w:spacing w:after="0" w:before="0"/>
      </w:pPr>
      <w:r>
        <w:rPr>
          <w:b w:val="0"/>
          <w:i w:val="0"/>
          <w:sz w:val="21"/>
        </w:rPr>
        <w:t>Solution: Rear-facing car seats in the back seat are recommended from birth until at least age 2 (or the seat's height/weight limits); the front seat and active airbags are dangerous for children. Forward-facing and boosters come later.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At which age is the measles-rubella (MR/MMR) vaccine first scheduled in the national immunization program?</w:t>
      </w:r>
    </w:p>
    <w:p>
      <w:pPr>
        <w:spacing w:after="0" w:before="0"/>
      </w:pPr>
      <w:r>
        <w:rPr>
          <w:b w:val="0"/>
          <w:i w:val="0"/>
          <w:sz w:val="22"/>
        </w:rPr>
        <w:t>(a) 9-12 months</w:t>
      </w:r>
    </w:p>
    <w:p>
      <w:pPr>
        <w:spacing w:after="0" w:before="0"/>
      </w:pPr>
      <w:r>
        <w:rPr>
          <w:b w:val="0"/>
          <w:i w:val="0"/>
          <w:sz w:val="22"/>
        </w:rPr>
        <w:t>(b) At birth</w:t>
      </w:r>
    </w:p>
    <w:p>
      <w:pPr>
        <w:spacing w:after="0" w:before="0"/>
      </w:pPr>
      <w:r>
        <w:rPr>
          <w:b w:val="0"/>
          <w:i w:val="0"/>
          <w:sz w:val="22"/>
        </w:rPr>
        <w:t>(c) 6 weeks</w:t>
      </w:r>
    </w:p>
    <w:p>
      <w:pPr>
        <w:spacing w:after="0" w:before="0"/>
      </w:pPr>
      <w:r>
        <w:rPr>
          <w:b w:val="0"/>
          <w:i w:val="0"/>
          <w:sz w:val="22"/>
        </w:rPr>
        <w:t>(d) 14 weeks</w:t>
      </w:r>
    </w:p>
    <w:p>
      <w:pPr>
        <w:spacing w:after="0" w:before="40"/>
      </w:pPr>
      <w:r>
        <w:rPr>
          <w:b/>
          <w:i w:val="0"/>
          <w:sz w:val="22"/>
        </w:rPr>
        <w:t>Answer: a</w:t>
      </w:r>
    </w:p>
    <w:p>
      <w:pPr>
        <w:spacing w:after="0" w:before="0"/>
      </w:pPr>
      <w:r>
        <w:rPr>
          <w:b w:val="0"/>
          <w:i w:val="0"/>
          <w:sz w:val="21"/>
        </w:rPr>
        <w:t>Solution: The first dose of MR/MMR vaccine is given at 9-12 months (9 months in the Indian national schedule), with a second dose later. BCG/OPV-0 are given at birth, and DPT/OPV/IPV begin at 6 weeks.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infant with acute watery diarrhea is being assessed for rotavirus. Which statement about rotavirus is correct?</w:t>
      </w:r>
    </w:p>
    <w:p>
      <w:pPr>
        <w:spacing w:after="0" w:before="0"/>
      </w:pPr>
      <w:r>
        <w:rPr>
          <w:b w:val="0"/>
          <w:i w:val="0"/>
          <w:sz w:val="22"/>
        </w:rPr>
        <w:t>(a) It is the most common cause of severe dehydrating diarrhea in young children and is preventable by an oral vaccine</w:t>
      </w:r>
    </w:p>
    <w:p>
      <w:pPr>
        <w:spacing w:after="0" w:before="0"/>
      </w:pPr>
      <w:r>
        <w:rPr>
          <w:b w:val="0"/>
          <w:i w:val="0"/>
          <w:sz w:val="22"/>
        </w:rPr>
        <w:t>(b) It is caused by a bacterium requiring antibiotics</w:t>
      </w:r>
    </w:p>
    <w:p>
      <w:pPr>
        <w:spacing w:after="0" w:before="0"/>
      </w:pPr>
      <w:r>
        <w:rPr>
          <w:b w:val="0"/>
          <w:i w:val="0"/>
          <w:sz w:val="22"/>
        </w:rPr>
        <w:t>(c) Breastfeeding must be stopped during the infection</w:t>
      </w:r>
    </w:p>
    <w:p>
      <w:pPr>
        <w:spacing w:after="0" w:before="0"/>
      </w:pPr>
      <w:r>
        <w:rPr>
          <w:b w:val="0"/>
          <w:i w:val="0"/>
          <w:sz w:val="22"/>
        </w:rPr>
        <w:t>(d) It causes bloody diarrhea with high fever in all cases</w:t>
      </w:r>
    </w:p>
    <w:p>
      <w:pPr>
        <w:spacing w:after="0" w:before="40"/>
      </w:pPr>
      <w:r>
        <w:rPr>
          <w:b/>
          <w:i w:val="0"/>
          <w:sz w:val="22"/>
        </w:rPr>
        <w:t>Answer: a</w:t>
      </w:r>
    </w:p>
    <w:p>
      <w:pPr>
        <w:spacing w:after="0" w:before="0"/>
      </w:pPr>
      <w:r>
        <w:rPr>
          <w:b w:val="0"/>
          <w:i w:val="0"/>
          <w:sz w:val="21"/>
        </w:rPr>
        <w:t>Solution: Rotavirus is the leading cause of severe dehydrating gastroenteritis in young children; oral rotavirus vaccine prevents it. It is viral (no antibiotics), breastfeeding continues, and watery (not bloody) diarrhea is typical.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Pulse polio immunization in India is conducted as:</w:t>
      </w:r>
    </w:p>
    <w:p>
      <w:pPr>
        <w:spacing w:after="0" w:before="0"/>
      </w:pPr>
      <w:r>
        <w:rPr>
          <w:b w:val="0"/>
          <w:i w:val="0"/>
          <w:sz w:val="22"/>
        </w:rPr>
        <w:t>(a) Repeated mass campaigns giving OPV to all children under 5 years regardless of prior immunization</w:t>
      </w:r>
    </w:p>
    <w:p>
      <w:pPr>
        <w:spacing w:after="0" w:before="0"/>
      </w:pPr>
      <w:r>
        <w:rPr>
          <w:b w:val="0"/>
          <w:i w:val="0"/>
          <w:sz w:val="22"/>
        </w:rPr>
        <w:t>(b) A one-time injection to all adults</w:t>
      </w:r>
    </w:p>
    <w:p>
      <w:pPr>
        <w:spacing w:after="0" w:before="0"/>
      </w:pPr>
      <w:r>
        <w:rPr>
          <w:b w:val="0"/>
          <w:i w:val="0"/>
          <w:sz w:val="22"/>
        </w:rPr>
        <w:t>(c) Weekly hospital-based vaccination only</w:t>
      </w:r>
    </w:p>
    <w:p>
      <w:pPr>
        <w:spacing w:after="0" w:before="0"/>
      </w:pPr>
      <w:r>
        <w:rPr>
          <w:b w:val="0"/>
          <w:i w:val="0"/>
          <w:sz w:val="22"/>
        </w:rPr>
        <w:t>(d) A campaign limited to children with fever</w:t>
      </w:r>
    </w:p>
    <w:p>
      <w:pPr>
        <w:spacing w:after="0" w:before="40"/>
      </w:pPr>
      <w:r>
        <w:rPr>
          <w:b/>
          <w:i w:val="0"/>
          <w:sz w:val="22"/>
        </w:rPr>
        <w:t>Answer: a</w:t>
      </w:r>
    </w:p>
    <w:p>
      <w:pPr>
        <w:spacing w:after="0" w:before="0"/>
      </w:pPr>
      <w:r>
        <w:rPr>
          <w:b w:val="0"/>
          <w:i w:val="0"/>
          <w:sz w:val="21"/>
        </w:rPr>
        <w:t>Solution: Pulse polio immunization uses mass OPV campaigns (National Immunization Days) targeting all children under 5 in a short period to interrupt transmission regardless of prior status. It contributed to India being certified polio-free in 2014.</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screening test correctly identifies all people who do NOT have a disease as negative. This property of the test is called:</w:t>
      </w:r>
    </w:p>
    <w:p>
      <w:pPr>
        <w:spacing w:after="0" w:before="0"/>
      </w:pPr>
      <w:r>
        <w:rPr>
          <w:b w:val="0"/>
          <w:i w:val="0"/>
          <w:sz w:val="22"/>
        </w:rPr>
        <w:t>(a) Specificity</w:t>
      </w:r>
    </w:p>
    <w:p>
      <w:pPr>
        <w:spacing w:after="0" w:before="0"/>
      </w:pPr>
      <w:r>
        <w:rPr>
          <w:b w:val="0"/>
          <w:i w:val="0"/>
          <w:sz w:val="22"/>
        </w:rPr>
        <w:t>(b) Sensitivity</w:t>
      </w:r>
    </w:p>
    <w:p>
      <w:pPr>
        <w:spacing w:after="0" w:before="0"/>
      </w:pPr>
      <w:r>
        <w:rPr>
          <w:b w:val="0"/>
          <w:i w:val="0"/>
          <w:sz w:val="22"/>
        </w:rPr>
        <w:t>(c) Prevalence</w:t>
      </w:r>
    </w:p>
    <w:p>
      <w:pPr>
        <w:spacing w:after="0" w:before="0"/>
      </w:pPr>
      <w:r>
        <w:rPr>
          <w:b w:val="0"/>
          <w:i w:val="0"/>
          <w:sz w:val="22"/>
        </w:rPr>
        <w:t>(d) Incidence</w:t>
      </w:r>
    </w:p>
    <w:p>
      <w:pPr>
        <w:spacing w:after="0" w:before="40"/>
      </w:pPr>
      <w:r>
        <w:rPr>
          <w:b/>
          <w:i w:val="0"/>
          <w:sz w:val="22"/>
        </w:rPr>
        <w:t>Answer: a</w:t>
      </w:r>
    </w:p>
    <w:p>
      <w:pPr>
        <w:spacing w:after="0" w:before="0"/>
      </w:pPr>
      <w:r>
        <w:rPr>
          <w:b w:val="0"/>
          <w:i w:val="0"/>
          <w:sz w:val="21"/>
        </w:rPr>
        <w:t>Solution: Specificity is the proportion of truly non-diseased people correctly identified as negative (few false positives). Sensitivity correctly identifies those with the disease (few false negatives).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