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child with thalassemia major receives regular blood transfusions and develops iron overload. Which medication is used to remove the excess iron?</w:t>
      </w:r>
    </w:p>
    <w:p>
      <w:pPr>
        <w:spacing w:after="0" w:before="0"/>
      </w:pPr>
      <w:r>
        <w:rPr>
          <w:b w:val="0"/>
          <w:i w:val="0"/>
          <w:sz w:val="22"/>
        </w:rPr>
        <w:t>(a) Deferoxamine</w:t>
      </w:r>
    </w:p>
    <w:p>
      <w:pPr>
        <w:spacing w:after="0" w:before="0"/>
      </w:pPr>
      <w:r>
        <w:rPr>
          <w:b w:val="0"/>
          <w:i w:val="0"/>
          <w:sz w:val="22"/>
        </w:rPr>
        <w:t>(b) Erythropoietin</w:t>
      </w:r>
    </w:p>
    <w:p>
      <w:pPr>
        <w:spacing w:after="0" w:before="0"/>
      </w:pPr>
      <w:r>
        <w:rPr>
          <w:b w:val="0"/>
          <w:i w:val="0"/>
          <w:sz w:val="22"/>
        </w:rPr>
        <w:t>(c) Folic acid</w:t>
      </w:r>
    </w:p>
    <w:p>
      <w:pPr>
        <w:spacing w:after="0" w:before="0"/>
      </w:pPr>
      <w:r>
        <w:rPr>
          <w:b w:val="0"/>
          <w:i w:val="0"/>
          <w:sz w:val="22"/>
        </w:rPr>
        <w:t>(d) Vitamin K</w:t>
      </w:r>
    </w:p>
    <w:p>
      <w:pPr>
        <w:spacing w:after="0" w:before="40"/>
      </w:pPr>
      <w:r>
        <w:rPr>
          <w:b/>
          <w:i w:val="0"/>
          <w:sz w:val="22"/>
        </w:rPr>
        <w:t>Answer: a</w:t>
      </w:r>
    </w:p>
    <w:p>
      <w:pPr>
        <w:spacing w:after="0" w:before="0"/>
      </w:pPr>
      <w:r>
        <w:rPr>
          <w:b w:val="0"/>
          <w:i w:val="0"/>
          <w:sz w:val="21"/>
        </w:rPr>
        <w:t>Solution: Deferoxamine is a chelating agent that binds iron and promotes its excretion, used to treat transfusion-related iron overload. Erythropoietin (b) stimulates red cell production, folic acid (c) supports erythropoiesis, and vitamin K (d) aids clotting—none remove iron.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cell is characteristic of Hodgkin's lymphoma?</w:t>
      </w:r>
    </w:p>
    <w:p>
      <w:pPr>
        <w:spacing w:after="0" w:before="0"/>
      </w:pPr>
      <w:r>
        <w:rPr>
          <w:b w:val="0"/>
          <w:i w:val="0"/>
          <w:sz w:val="22"/>
        </w:rPr>
        <w:t>(a) Reed-Sternberg cell</w:t>
      </w:r>
    </w:p>
    <w:p>
      <w:pPr>
        <w:spacing w:after="0" w:before="0"/>
      </w:pPr>
      <w:r>
        <w:rPr>
          <w:b w:val="0"/>
          <w:i w:val="0"/>
          <w:sz w:val="22"/>
        </w:rPr>
        <w:t>(b) Sezary cell</w:t>
      </w:r>
    </w:p>
    <w:p>
      <w:pPr>
        <w:spacing w:after="0" w:before="0"/>
      </w:pPr>
      <w:r>
        <w:rPr>
          <w:b w:val="0"/>
          <w:i w:val="0"/>
          <w:sz w:val="22"/>
        </w:rPr>
        <w:t>(c) Ring sideroblast</w:t>
      </w:r>
    </w:p>
    <w:p>
      <w:pPr>
        <w:spacing w:after="0" w:before="0"/>
      </w:pPr>
      <w:r>
        <w:rPr>
          <w:b w:val="0"/>
          <w:i w:val="0"/>
          <w:sz w:val="22"/>
        </w:rPr>
        <w:t>(d) Auer rod</w:t>
      </w:r>
    </w:p>
    <w:p>
      <w:pPr>
        <w:spacing w:after="0" w:before="40"/>
      </w:pPr>
      <w:r>
        <w:rPr>
          <w:b/>
          <w:i w:val="0"/>
          <w:sz w:val="22"/>
        </w:rPr>
        <w:t>Answer: a</w:t>
      </w:r>
    </w:p>
    <w:p>
      <w:pPr>
        <w:spacing w:after="0" w:before="0"/>
      </w:pPr>
      <w:r>
        <w:rPr>
          <w:b w:val="0"/>
          <w:i w:val="0"/>
          <w:sz w:val="21"/>
        </w:rPr>
        <w:t>Solution: The Reed-Sternberg cell—a large binucleate cell with an owl-eye appearance—is the hallmark of Hodgkin's lymphoma. Sezary cells (b) are seen in cutaneous T-cell lymphoma, ring sideroblasts (c) in sideroblastic anemia, and Auer rods (d) in acute myeloid leukaemia.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an enlarged thyroid gland and the nurse suspects iodine deficiency. Which food should the client be encouraged to include in the diet?</w:t>
      </w:r>
    </w:p>
    <w:p>
      <w:pPr>
        <w:spacing w:after="0" w:before="0"/>
      </w:pPr>
      <w:r>
        <w:rPr>
          <w:b w:val="0"/>
          <w:i w:val="0"/>
          <w:sz w:val="22"/>
        </w:rPr>
        <w:t>(a) Iodized salt</w:t>
      </w:r>
    </w:p>
    <w:p>
      <w:pPr>
        <w:spacing w:after="0" w:before="0"/>
      </w:pPr>
      <w:r>
        <w:rPr>
          <w:b w:val="0"/>
          <w:i w:val="0"/>
          <w:sz w:val="22"/>
        </w:rPr>
        <w:t>(b) Unsalted butter</w:t>
      </w:r>
    </w:p>
    <w:p>
      <w:pPr>
        <w:spacing w:after="0" w:before="0"/>
      </w:pPr>
      <w:r>
        <w:rPr>
          <w:b w:val="0"/>
          <w:i w:val="0"/>
          <w:sz w:val="22"/>
        </w:rPr>
        <w:t>(c) Refined sugar</w:t>
      </w:r>
    </w:p>
    <w:p>
      <w:pPr>
        <w:spacing w:after="0" w:before="0"/>
      </w:pPr>
      <w:r>
        <w:rPr>
          <w:b w:val="0"/>
          <w:i w:val="0"/>
          <w:sz w:val="22"/>
        </w:rPr>
        <w:t>(d) Distilled water</w:t>
      </w:r>
    </w:p>
    <w:p>
      <w:pPr>
        <w:spacing w:after="0" w:before="40"/>
      </w:pPr>
      <w:r>
        <w:rPr>
          <w:b/>
          <w:i w:val="0"/>
          <w:sz w:val="22"/>
        </w:rPr>
        <w:t>Answer: a</w:t>
      </w:r>
    </w:p>
    <w:p>
      <w:pPr>
        <w:spacing w:after="0" w:before="0"/>
      </w:pPr>
      <w:r>
        <w:rPr>
          <w:b w:val="0"/>
          <w:i w:val="0"/>
          <w:sz w:val="21"/>
        </w:rPr>
        <w:t>Solution: Simple (endemic) goitre results from iodine deficiency; iodized salt is the main dietary source of iodine and helps prevent further thyroid enlargement. The other options provide no iodine.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14-year-old with scoliosis is fitted with a Milwaukee brace. Which instruction is correct?</w:t>
      </w:r>
    </w:p>
    <w:p>
      <w:pPr>
        <w:spacing w:after="0" w:before="0"/>
      </w:pPr>
      <w:r>
        <w:rPr>
          <w:b w:val="0"/>
          <w:i w:val="0"/>
          <w:sz w:val="22"/>
        </w:rPr>
        <w:t>(a) Wear the brace 23 hours a day over a thin cotton shirt</w:t>
      </w:r>
    </w:p>
    <w:p>
      <w:pPr>
        <w:spacing w:after="0" w:before="0"/>
      </w:pPr>
      <w:r>
        <w:rPr>
          <w:b w:val="0"/>
          <w:i w:val="0"/>
          <w:sz w:val="22"/>
        </w:rPr>
        <w:t>(b) Wear the brace only during school hours</w:t>
      </w:r>
    </w:p>
    <w:p>
      <w:pPr>
        <w:spacing w:after="0" w:before="0"/>
      </w:pPr>
      <w:r>
        <w:rPr>
          <w:b w:val="0"/>
          <w:i w:val="0"/>
          <w:sz w:val="22"/>
        </w:rPr>
        <w:t>(c) Remove the brace for all physical activity</w:t>
      </w:r>
    </w:p>
    <w:p>
      <w:pPr>
        <w:spacing w:after="0" w:before="0"/>
      </w:pPr>
      <w:r>
        <w:rPr>
          <w:b w:val="0"/>
          <w:i w:val="0"/>
          <w:sz w:val="22"/>
        </w:rPr>
        <w:t>(d) Tighten the brace as much as possible at night</w:t>
      </w:r>
    </w:p>
    <w:p>
      <w:pPr>
        <w:spacing w:after="0" w:before="40"/>
      </w:pPr>
      <w:r>
        <w:rPr>
          <w:b/>
          <w:i w:val="0"/>
          <w:sz w:val="22"/>
        </w:rPr>
        <w:t>Answer: a</w:t>
      </w:r>
    </w:p>
    <w:p>
      <w:pPr>
        <w:spacing w:after="0" w:before="0"/>
      </w:pPr>
      <w:r>
        <w:rPr>
          <w:b w:val="0"/>
          <w:i w:val="0"/>
          <w:sz w:val="21"/>
        </w:rPr>
        <w:t>Solution: A Milwaukee brace is worn about 23 hours daily over a thin cotton undershirt to protect the skin. Wearing it only during school (b) or removing it for activity (c) reduces its corrective effect, and over-tightening (d) causes skin breakdown.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turning a client after lumbar spinal fusion surgery?</w:t>
      </w:r>
    </w:p>
    <w:p>
      <w:pPr>
        <w:spacing w:after="0" w:before="0"/>
      </w:pPr>
      <w:r>
        <w:rPr>
          <w:b w:val="0"/>
          <w:i w:val="0"/>
          <w:sz w:val="22"/>
        </w:rPr>
        <w:t>(a) Log roll the client as a single unit</w:t>
      </w:r>
    </w:p>
    <w:p>
      <w:pPr>
        <w:spacing w:after="0" w:before="0"/>
      </w:pPr>
      <w:r>
        <w:rPr>
          <w:b w:val="0"/>
          <w:i w:val="0"/>
          <w:sz w:val="22"/>
        </w:rPr>
        <w:t>(b) Let the client turn independently using a trapeze</w:t>
      </w:r>
    </w:p>
    <w:p>
      <w:pPr>
        <w:spacing w:after="0" w:before="0"/>
      </w:pPr>
      <w:r>
        <w:rPr>
          <w:b w:val="0"/>
          <w:i w:val="0"/>
          <w:sz w:val="22"/>
        </w:rPr>
        <w:t>(c) Turn by pulling on the client's shoulders</w:t>
      </w:r>
    </w:p>
    <w:p>
      <w:pPr>
        <w:spacing w:after="0" w:before="0"/>
      </w:pPr>
      <w:r>
        <w:rPr>
          <w:b w:val="0"/>
          <w:i w:val="0"/>
          <w:sz w:val="22"/>
        </w:rPr>
        <w:t>(d) Turn the client with only a pillow between the knees</w:t>
      </w:r>
    </w:p>
    <w:p>
      <w:pPr>
        <w:spacing w:after="0" w:before="40"/>
      </w:pPr>
      <w:r>
        <w:rPr>
          <w:b/>
          <w:i w:val="0"/>
          <w:sz w:val="22"/>
        </w:rPr>
        <w:t>Answer: a</w:t>
      </w:r>
    </w:p>
    <w:p>
      <w:pPr>
        <w:spacing w:after="0" w:before="0"/>
      </w:pPr>
      <w:r>
        <w:rPr>
          <w:b w:val="0"/>
          <w:i w:val="0"/>
          <w:sz w:val="21"/>
        </w:rPr>
        <w:t>Solution: After spinal fusion the spine must remain aligned; log rolling keeps the head, trunk, and legs in one straight line, preventing torsion on the fusion site. Independent turning (b) or pulling on the shoulders (c) risks disrupting the graft.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has acute pain and swelling of the knee with fever and refusal to bear weight. Which finding confirms septic arthritis?</w:t>
      </w:r>
    </w:p>
    <w:p>
      <w:pPr>
        <w:spacing w:after="0" w:before="0"/>
      </w:pPr>
      <w:r>
        <w:rPr>
          <w:b w:val="0"/>
          <w:i w:val="0"/>
          <w:sz w:val="22"/>
        </w:rPr>
        <w:t>(a) Positive culture from the joint aspirate</w:t>
      </w:r>
    </w:p>
    <w:p>
      <w:pPr>
        <w:spacing w:after="0" w:before="0"/>
      </w:pPr>
      <w:r>
        <w:rPr>
          <w:b w:val="0"/>
          <w:i w:val="0"/>
          <w:sz w:val="22"/>
        </w:rPr>
        <w:t>(b) A normal white blood cell count</w:t>
      </w:r>
    </w:p>
    <w:p>
      <w:pPr>
        <w:spacing w:after="0" w:before="0"/>
      </w:pPr>
      <w:r>
        <w:rPr>
          <w:b w:val="0"/>
          <w:i w:val="0"/>
          <w:sz w:val="22"/>
        </w:rPr>
        <w:t>(c) A negative blood culture</w:t>
      </w:r>
    </w:p>
    <w:p>
      <w:pPr>
        <w:spacing w:after="0" w:before="0"/>
      </w:pPr>
      <w:r>
        <w:rPr>
          <w:b w:val="0"/>
          <w:i w:val="0"/>
          <w:sz w:val="22"/>
        </w:rPr>
        <w:t>(d) Decreased joint space on X-ray</w:t>
      </w:r>
    </w:p>
    <w:p>
      <w:pPr>
        <w:spacing w:after="0" w:before="40"/>
      </w:pPr>
      <w:r>
        <w:rPr>
          <w:b/>
          <w:i w:val="0"/>
          <w:sz w:val="22"/>
        </w:rPr>
        <w:t>Answer: a</w:t>
      </w:r>
    </w:p>
    <w:p>
      <w:pPr>
        <w:spacing w:after="0" w:before="0"/>
      </w:pPr>
      <w:r>
        <w:rPr>
          <w:b w:val="0"/>
          <w:i w:val="0"/>
          <w:sz w:val="21"/>
        </w:rPr>
        <w:t>Solution: Septic arthritis is confirmed by a positive culture or a markedly elevated WBC count in synovial fluid obtained by arthrocentesis. A normal WBC (b) or negative blood culture (c) does not rule out the diagnosis.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Heat application is contraindicated in a client with:</w:t>
      </w:r>
    </w:p>
    <w:p>
      <w:pPr>
        <w:spacing w:after="0" w:before="0"/>
      </w:pPr>
      <w:r>
        <w:rPr>
          <w:b w:val="0"/>
          <w:i w:val="0"/>
          <w:sz w:val="22"/>
        </w:rPr>
        <w:t>(a) Acute inflammation or recent bleeding</w:t>
      </w:r>
    </w:p>
    <w:p>
      <w:pPr>
        <w:spacing w:after="0" w:before="0"/>
      </w:pPr>
      <w:r>
        <w:rPr>
          <w:b w:val="0"/>
          <w:i w:val="0"/>
          <w:sz w:val="22"/>
        </w:rPr>
        <w:t>(b) Chronic joint stiffness</w:t>
      </w:r>
    </w:p>
    <w:p>
      <w:pPr>
        <w:spacing w:after="0" w:before="0"/>
      </w:pPr>
      <w:r>
        <w:rPr>
          <w:b w:val="0"/>
          <w:i w:val="0"/>
          <w:sz w:val="22"/>
        </w:rPr>
        <w:t>(c) Muscle spasm</w:t>
      </w:r>
    </w:p>
    <w:p>
      <w:pPr>
        <w:spacing w:after="0" w:before="0"/>
      </w:pPr>
      <w:r>
        <w:rPr>
          <w:b w:val="0"/>
          <w:i w:val="0"/>
          <w:sz w:val="22"/>
        </w:rPr>
        <w:t>(d) Menstrual cramps</w:t>
      </w:r>
    </w:p>
    <w:p>
      <w:pPr>
        <w:spacing w:after="0" w:before="40"/>
      </w:pPr>
      <w:r>
        <w:rPr>
          <w:b/>
          <w:i w:val="0"/>
          <w:sz w:val="22"/>
        </w:rPr>
        <w:t>Answer: a</w:t>
      </w:r>
    </w:p>
    <w:p>
      <w:pPr>
        <w:spacing w:after="0" w:before="0"/>
      </w:pPr>
      <w:r>
        <w:rPr>
          <w:b w:val="0"/>
          <w:i w:val="0"/>
          <w:sz w:val="21"/>
        </w:rPr>
        <w:t>Solution: Heat increases blood flow and is contraindicated in acute inflammation, active bleeding, malignancy, and areas with impaired sensation, because it can worsen swelling and haemorrhage. It is beneficial for muscle spasm (c), stiffness (b), and dysmenorrhoea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removing wound staples?</w:t>
      </w:r>
    </w:p>
    <w:p>
      <w:pPr>
        <w:spacing w:after="0" w:before="0"/>
      </w:pPr>
      <w:r>
        <w:rPr>
          <w:b w:val="0"/>
          <w:i w:val="0"/>
          <w:sz w:val="22"/>
        </w:rPr>
        <w:t>(a) Remove every staple in sequence from one end</w:t>
      </w:r>
    </w:p>
    <w:p>
      <w:pPr>
        <w:spacing w:after="0" w:before="0"/>
      </w:pPr>
      <w:r>
        <w:rPr>
          <w:b w:val="0"/>
          <w:i w:val="0"/>
          <w:sz w:val="22"/>
        </w:rPr>
        <w:t>(b) Remove alternate staples first, then the remaining ones</w:t>
      </w:r>
    </w:p>
    <w:p>
      <w:pPr>
        <w:spacing w:after="0" w:before="0"/>
      </w:pPr>
      <w:r>
        <w:rPr>
          <w:b w:val="0"/>
          <w:i w:val="0"/>
          <w:sz w:val="22"/>
        </w:rPr>
        <w:t>(c) Pull each staple straight up while the remover's lower jaw sits under it</w:t>
      </w:r>
    </w:p>
    <w:p>
      <w:pPr>
        <w:spacing w:after="0" w:before="0"/>
      </w:pPr>
      <w:r>
        <w:rPr>
          <w:b w:val="0"/>
          <w:i w:val="0"/>
          <w:sz w:val="22"/>
        </w:rPr>
        <w:t>(d) Wipe the staple remover with alcohol only between clients</w:t>
      </w:r>
    </w:p>
    <w:p>
      <w:pPr>
        <w:spacing w:after="0" w:before="40"/>
      </w:pPr>
      <w:r>
        <w:rPr>
          <w:b/>
          <w:i w:val="0"/>
          <w:sz w:val="22"/>
        </w:rPr>
        <w:t>Answer: b</w:t>
      </w:r>
    </w:p>
    <w:p>
      <w:pPr>
        <w:spacing w:after="0" w:before="0"/>
      </w:pPr>
      <w:r>
        <w:rPr>
          <w:b w:val="0"/>
          <w:i w:val="0"/>
          <w:sz w:val="21"/>
        </w:rPr>
        <w:t>Solution: Staples are removed alternately—every other staple first—so the wound edges are never left unsupported, then the remaining staples are removed. The lower jaw of the remover is placed under the staple (c is partially correct but incomplete on its own).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applying an arm sling for a client with a fractured forearm, the nurse should ensure that the:</w:t>
      </w:r>
    </w:p>
    <w:p>
      <w:pPr>
        <w:spacing w:after="0" w:before="0"/>
      </w:pPr>
      <w:r>
        <w:rPr>
          <w:b w:val="0"/>
          <w:i w:val="0"/>
          <w:sz w:val="22"/>
        </w:rPr>
        <w:t>(a) Hand is positioned higher than the elbow</w:t>
      </w:r>
    </w:p>
    <w:p>
      <w:pPr>
        <w:spacing w:after="0" w:before="0"/>
      </w:pPr>
      <w:r>
        <w:rPr>
          <w:b w:val="0"/>
          <w:i w:val="0"/>
          <w:sz w:val="22"/>
        </w:rPr>
        <w:t>(b) Elbow is positioned higher than the hand</w:t>
      </w:r>
    </w:p>
    <w:p>
      <w:pPr>
        <w:spacing w:after="0" w:before="0"/>
      </w:pPr>
      <w:r>
        <w:rPr>
          <w:b w:val="0"/>
          <w:i w:val="0"/>
          <w:sz w:val="22"/>
        </w:rPr>
        <w:t>(c) Wrist hangs lower than the fingers</w:t>
      </w:r>
    </w:p>
    <w:p>
      <w:pPr>
        <w:spacing w:after="0" w:before="0"/>
      </w:pPr>
      <w:r>
        <w:rPr>
          <w:b w:val="0"/>
          <w:i w:val="0"/>
          <w:sz w:val="22"/>
        </w:rPr>
        <w:t>(d) Sling is tied tightly across the chest</w:t>
      </w:r>
    </w:p>
    <w:p>
      <w:pPr>
        <w:spacing w:after="0" w:before="40"/>
      </w:pPr>
      <w:r>
        <w:rPr>
          <w:b/>
          <w:i w:val="0"/>
          <w:sz w:val="22"/>
        </w:rPr>
        <w:t>Answer: a</w:t>
      </w:r>
    </w:p>
    <w:p>
      <w:pPr>
        <w:spacing w:after="0" w:before="0"/>
      </w:pPr>
      <w:r>
        <w:rPr>
          <w:b w:val="0"/>
          <w:i w:val="0"/>
          <w:sz w:val="21"/>
        </w:rPr>
        <w:t>Solution: In a sling the hand is positioned slightly higher than the elbow to promote venous and lymphatic drainage and reduce oedema. An elbow above the hand (b) would allow fluid to pool in the hand, and a tight sling (d) impairs circulation.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biophysical profile score is 8 out of 10, with 2 points deducted for decreased amniotic fluid. How should the nurse interpret this result?</w:t>
      </w:r>
    </w:p>
    <w:p>
      <w:pPr>
        <w:spacing w:after="0" w:before="0"/>
      </w:pPr>
      <w:r>
        <w:rPr>
          <w:b w:val="0"/>
          <w:i w:val="0"/>
          <w:sz w:val="22"/>
        </w:rPr>
        <w:t>(a) Reassuring and normal</w:t>
      </w:r>
    </w:p>
    <w:p>
      <w:pPr>
        <w:spacing w:after="0" w:before="0"/>
      </w:pPr>
      <w:r>
        <w:rPr>
          <w:b w:val="0"/>
          <w:i w:val="0"/>
          <w:sz w:val="22"/>
        </w:rPr>
        <w:t>(b) Nonreassuring, requiring immediate delivery</w:t>
      </w:r>
    </w:p>
    <w:p>
      <w:pPr>
        <w:spacing w:after="0" w:before="0"/>
      </w:pPr>
      <w:r>
        <w:rPr>
          <w:b w:val="0"/>
          <w:i w:val="0"/>
          <w:sz w:val="22"/>
        </w:rPr>
        <w:t>(c) Equivocal, requiring repeat testing in 24 hours</w:t>
      </w:r>
    </w:p>
    <w:p>
      <w:pPr>
        <w:spacing w:after="0" w:before="0"/>
      </w:pPr>
      <w:r>
        <w:rPr>
          <w:b w:val="0"/>
          <w:i w:val="0"/>
          <w:sz w:val="22"/>
        </w:rPr>
        <w:t>(d) Fetal demise is imminent</w:t>
      </w:r>
    </w:p>
    <w:p>
      <w:pPr>
        <w:spacing w:after="0" w:before="40"/>
      </w:pPr>
      <w:r>
        <w:rPr>
          <w:b/>
          <w:i w:val="0"/>
          <w:sz w:val="22"/>
        </w:rPr>
        <w:t>Answer: a</w:t>
      </w:r>
    </w:p>
    <w:p>
      <w:pPr>
        <w:spacing w:after="0" w:before="0"/>
      </w:pPr>
      <w:r>
        <w:rPr>
          <w:b w:val="0"/>
          <w:i w:val="0"/>
          <w:sz w:val="21"/>
        </w:rPr>
        <w:t>Solution: A BPP score of 8-10 is reassuring; losing 2 points for a single variable such as amniotic fluid is not ominous by itself. Scores of 6 (equivocal) or 4 and below (nonreassuring) warrant further evaluation.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maternal condition is most associated with oligohydramnios?</w:t>
      </w:r>
    </w:p>
    <w:p>
      <w:pPr>
        <w:spacing w:after="0" w:before="0"/>
      </w:pPr>
      <w:r>
        <w:rPr>
          <w:b w:val="0"/>
          <w:i w:val="0"/>
          <w:sz w:val="22"/>
        </w:rPr>
        <w:t>(a) Post-term pregnancy</w:t>
      </w:r>
    </w:p>
    <w:p>
      <w:pPr>
        <w:spacing w:after="0" w:before="0"/>
      </w:pPr>
      <w:r>
        <w:rPr>
          <w:b w:val="0"/>
          <w:i w:val="0"/>
          <w:sz w:val="22"/>
        </w:rPr>
        <w:t>(b) Diabetes mellitus</w:t>
      </w:r>
    </w:p>
    <w:p>
      <w:pPr>
        <w:spacing w:after="0" w:before="0"/>
      </w:pPr>
      <w:r>
        <w:rPr>
          <w:b w:val="0"/>
          <w:i w:val="0"/>
          <w:sz w:val="22"/>
        </w:rPr>
        <w:t>(c) Multiple gestation</w:t>
      </w:r>
    </w:p>
    <w:p>
      <w:pPr>
        <w:spacing w:after="0" w:before="0"/>
      </w:pPr>
      <w:r>
        <w:rPr>
          <w:b w:val="0"/>
          <w:i w:val="0"/>
          <w:sz w:val="22"/>
        </w:rPr>
        <w:t>(d) Pre-eclampsia</w:t>
      </w:r>
    </w:p>
    <w:p>
      <w:pPr>
        <w:spacing w:after="0" w:before="40"/>
      </w:pPr>
      <w:r>
        <w:rPr>
          <w:b/>
          <w:i w:val="0"/>
          <w:sz w:val="22"/>
        </w:rPr>
        <w:t>Answer: a</w:t>
      </w:r>
    </w:p>
    <w:p>
      <w:pPr>
        <w:spacing w:after="0" w:before="0"/>
      </w:pPr>
      <w:r>
        <w:rPr>
          <w:b w:val="0"/>
          <w:i w:val="0"/>
          <w:sz w:val="21"/>
        </w:rPr>
        <w:t>Solution: Oligohydramnios (reduced amniotic fluid) is associated with post-term pregnancy, fetal renal anomalies, and placental insufficiency. Diabetes (b) and multiple gestation (c) more often cause polyhydramnios.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32 weeks of gestation is in preterm labour and is prescribed betamethasone. What is the purpose of this drug?</w:t>
      </w:r>
    </w:p>
    <w:p>
      <w:pPr>
        <w:spacing w:after="0" w:before="0"/>
      </w:pPr>
      <w:r>
        <w:rPr>
          <w:b w:val="0"/>
          <w:i w:val="0"/>
          <w:sz w:val="22"/>
        </w:rPr>
        <w:t>(a) To accelerate fetal lung maturity</w:t>
      </w:r>
    </w:p>
    <w:p>
      <w:pPr>
        <w:spacing w:after="0" w:before="0"/>
      </w:pPr>
      <w:r>
        <w:rPr>
          <w:b w:val="0"/>
          <w:i w:val="0"/>
          <w:sz w:val="22"/>
        </w:rPr>
        <w:t>(b) To stop uterine contractions</w:t>
      </w:r>
    </w:p>
    <w:p>
      <w:pPr>
        <w:spacing w:after="0" w:before="0"/>
      </w:pPr>
      <w:r>
        <w:rPr>
          <w:b w:val="0"/>
          <w:i w:val="0"/>
          <w:sz w:val="22"/>
        </w:rPr>
        <w:t>(c) To prevent maternal infection</w:t>
      </w:r>
    </w:p>
    <w:p>
      <w:pPr>
        <w:spacing w:after="0" w:before="0"/>
      </w:pPr>
      <w:r>
        <w:rPr>
          <w:b w:val="0"/>
          <w:i w:val="0"/>
          <w:sz w:val="22"/>
        </w:rPr>
        <w:t>(d) To reduce the fetal heart rate</w:t>
      </w:r>
    </w:p>
    <w:p>
      <w:pPr>
        <w:spacing w:after="0" w:before="40"/>
      </w:pPr>
      <w:r>
        <w:rPr>
          <w:b/>
          <w:i w:val="0"/>
          <w:sz w:val="22"/>
        </w:rPr>
        <w:t>Answer: a</w:t>
      </w:r>
    </w:p>
    <w:p>
      <w:pPr>
        <w:spacing w:after="0" w:before="0"/>
      </w:pPr>
      <w:r>
        <w:rPr>
          <w:b w:val="0"/>
          <w:i w:val="0"/>
          <w:sz w:val="21"/>
        </w:rPr>
        <w:t>Solution: Betamethasone is a corticosteroid given to women at risk of preterm birth to accelerate fetal lung maturation and reduce the risk of respiratory distress syndrome. Tocolytic agents, not steroids, stop contractions (b).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has no injury fakes paralysis and reports severe pain to obtain financial compensation. This behaviour is termed:</w:t>
      </w:r>
    </w:p>
    <w:p>
      <w:pPr>
        <w:spacing w:after="0" w:before="0"/>
      </w:pPr>
      <w:r>
        <w:rPr>
          <w:b w:val="0"/>
          <w:i w:val="0"/>
          <w:sz w:val="22"/>
        </w:rPr>
        <w:t>(a) Malingering</w:t>
      </w:r>
    </w:p>
    <w:p>
      <w:pPr>
        <w:spacing w:after="0" w:before="0"/>
      </w:pPr>
      <w:r>
        <w:rPr>
          <w:b w:val="0"/>
          <w:i w:val="0"/>
          <w:sz w:val="22"/>
        </w:rPr>
        <w:t>(b) Conversion disorder</w:t>
      </w:r>
    </w:p>
    <w:p>
      <w:pPr>
        <w:spacing w:after="0" w:before="0"/>
      </w:pPr>
      <w:r>
        <w:rPr>
          <w:b w:val="0"/>
          <w:i w:val="0"/>
          <w:sz w:val="22"/>
        </w:rPr>
        <w:t>(c) Hypochondriasis</w:t>
      </w:r>
    </w:p>
    <w:p>
      <w:pPr>
        <w:spacing w:after="0" w:before="0"/>
      </w:pPr>
      <w:r>
        <w:rPr>
          <w:b w:val="0"/>
          <w:i w:val="0"/>
          <w:sz w:val="22"/>
        </w:rPr>
        <w:t>(d) Somatization</w:t>
      </w:r>
    </w:p>
    <w:p>
      <w:pPr>
        <w:spacing w:after="0" w:before="40"/>
      </w:pPr>
      <w:r>
        <w:rPr>
          <w:b/>
          <w:i w:val="0"/>
          <w:sz w:val="22"/>
        </w:rPr>
        <w:t>Answer: a</w:t>
      </w:r>
    </w:p>
    <w:p>
      <w:pPr>
        <w:spacing w:after="0" w:before="0"/>
      </w:pPr>
      <w:r>
        <w:rPr>
          <w:b w:val="0"/>
          <w:i w:val="0"/>
          <w:sz w:val="21"/>
        </w:rPr>
        <w:t>Solution: Malingering is the intentional production of false symptoms for an external reward such as money or avoiding work. Conversion disorder (b) is unconscious, and hypochondriasis (c) is preoccupation with having a serious illness despite reassurance.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emotionally detached, prefers solitary activities, and shows little interest in relationships. Which personality disorder is most consistent?</w:t>
      </w:r>
    </w:p>
    <w:p>
      <w:pPr>
        <w:spacing w:after="0" w:before="0"/>
      </w:pPr>
      <w:r>
        <w:rPr>
          <w:b w:val="0"/>
          <w:i w:val="0"/>
          <w:sz w:val="22"/>
        </w:rPr>
        <w:t>(a) Schizoid personality disorder</w:t>
      </w:r>
    </w:p>
    <w:p>
      <w:pPr>
        <w:spacing w:after="0" w:before="0"/>
      </w:pPr>
      <w:r>
        <w:rPr>
          <w:b w:val="0"/>
          <w:i w:val="0"/>
          <w:sz w:val="22"/>
        </w:rPr>
        <w:t>(b) Borderline personality disorder</w:t>
      </w:r>
    </w:p>
    <w:p>
      <w:pPr>
        <w:spacing w:after="0" w:before="0"/>
      </w:pPr>
      <w:r>
        <w:rPr>
          <w:b w:val="0"/>
          <w:i w:val="0"/>
          <w:sz w:val="22"/>
        </w:rPr>
        <w:t>(c) Histrionic personality disorder</w:t>
      </w:r>
    </w:p>
    <w:p>
      <w:pPr>
        <w:spacing w:after="0" w:before="0"/>
      </w:pPr>
      <w:r>
        <w:rPr>
          <w:b w:val="0"/>
          <w:i w:val="0"/>
          <w:sz w:val="22"/>
        </w:rPr>
        <w:t>(d) Dependent personality disorder</w:t>
      </w:r>
    </w:p>
    <w:p>
      <w:pPr>
        <w:spacing w:after="0" w:before="40"/>
      </w:pPr>
      <w:r>
        <w:rPr>
          <w:b/>
          <w:i w:val="0"/>
          <w:sz w:val="22"/>
        </w:rPr>
        <w:t>Answer: a</w:t>
      </w:r>
    </w:p>
    <w:p>
      <w:pPr>
        <w:spacing w:after="0" w:before="0"/>
      </w:pPr>
      <w:r>
        <w:rPr>
          <w:b w:val="0"/>
          <w:i w:val="0"/>
          <w:sz w:val="21"/>
        </w:rPr>
        <w:t>Solution: Schizoid personality disorder is characterized by detachment from social relationships and restricted emotional expression, with a preference for being alone. Borderline (b) features instability, histrionic (c) attention-seeking, and dependent (d) submissiveness.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turns a supine infant's head to the right, and the infant extends the right arm and leg while flexing the left limbs. This response is the:</w:t>
      </w:r>
    </w:p>
    <w:p>
      <w:pPr>
        <w:spacing w:after="0" w:before="0"/>
      </w:pPr>
      <w:r>
        <w:rPr>
          <w:b w:val="0"/>
          <w:i w:val="0"/>
          <w:sz w:val="22"/>
        </w:rPr>
        <w:t>(a) Tonic neck reflex</w:t>
      </w:r>
    </w:p>
    <w:p>
      <w:pPr>
        <w:spacing w:after="0" w:before="0"/>
      </w:pPr>
      <w:r>
        <w:rPr>
          <w:b w:val="0"/>
          <w:i w:val="0"/>
          <w:sz w:val="22"/>
        </w:rPr>
        <w:t>(b) Moro reflex</w:t>
      </w:r>
    </w:p>
    <w:p>
      <w:pPr>
        <w:spacing w:after="0" w:before="0"/>
      </w:pPr>
      <w:r>
        <w:rPr>
          <w:b w:val="0"/>
          <w:i w:val="0"/>
          <w:sz w:val="22"/>
        </w:rPr>
        <w:t>(c) Rooting reflex</w:t>
      </w:r>
    </w:p>
    <w:p>
      <w:pPr>
        <w:spacing w:after="0" w:before="0"/>
      </w:pPr>
      <w:r>
        <w:rPr>
          <w:b w:val="0"/>
          <w:i w:val="0"/>
          <w:sz w:val="22"/>
        </w:rPr>
        <w:t>(d) Landau reflex</w:t>
      </w:r>
    </w:p>
    <w:p>
      <w:pPr>
        <w:spacing w:after="0" w:before="40"/>
      </w:pPr>
      <w:r>
        <w:rPr>
          <w:b/>
          <w:i w:val="0"/>
          <w:sz w:val="22"/>
        </w:rPr>
        <w:t>Answer: a</w:t>
      </w:r>
    </w:p>
    <w:p>
      <w:pPr>
        <w:spacing w:after="0" w:before="0"/>
      </w:pPr>
      <w:r>
        <w:rPr>
          <w:b w:val="0"/>
          <w:i w:val="0"/>
          <w:sz w:val="21"/>
        </w:rPr>
        <w:t>Solution: In the tonic neck (fencer) reflex, when the head is turned to one side, the arm and leg on that side extend while the opposite limbs flex. Moro (b) is the startle response, rooting (c) is head-turning toward cheek stimulation, and the Landau reflex (d) appears when the infant is held suspended.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positive Babinski sign (toes fanning upward) in a 6-month-old infant is:</w:t>
      </w:r>
    </w:p>
    <w:p>
      <w:pPr>
        <w:spacing w:after="0" w:before="0"/>
      </w:pPr>
      <w:r>
        <w:rPr>
          <w:b w:val="0"/>
          <w:i w:val="0"/>
          <w:sz w:val="22"/>
        </w:rPr>
        <w:t>(a) A normal finding that disappears by 1-2 years</w:t>
      </w:r>
    </w:p>
    <w:p>
      <w:pPr>
        <w:spacing w:after="0" w:before="0"/>
      </w:pPr>
      <w:r>
        <w:rPr>
          <w:b w:val="0"/>
          <w:i w:val="0"/>
          <w:sz w:val="22"/>
        </w:rPr>
        <w:t>(b) A sign of upper motor neuron disease</w:t>
      </w:r>
    </w:p>
    <w:p>
      <w:pPr>
        <w:spacing w:after="0" w:before="0"/>
      </w:pPr>
      <w:r>
        <w:rPr>
          <w:b w:val="0"/>
          <w:i w:val="0"/>
          <w:sz w:val="22"/>
        </w:rPr>
        <w:t>(c) An indication of cerebral palsy</w:t>
      </w:r>
    </w:p>
    <w:p>
      <w:pPr>
        <w:spacing w:after="0" w:before="0"/>
      </w:pPr>
      <w:r>
        <w:rPr>
          <w:b w:val="0"/>
          <w:i w:val="0"/>
          <w:sz w:val="22"/>
        </w:rPr>
        <w:t>(d) A sign of spinal cord injury</w:t>
      </w:r>
    </w:p>
    <w:p>
      <w:pPr>
        <w:spacing w:after="0" w:before="40"/>
      </w:pPr>
      <w:r>
        <w:rPr>
          <w:b/>
          <w:i w:val="0"/>
          <w:sz w:val="22"/>
        </w:rPr>
        <w:t>Answer: a</w:t>
      </w:r>
    </w:p>
    <w:p>
      <w:pPr>
        <w:spacing w:after="0" w:before="0"/>
      </w:pPr>
      <w:r>
        <w:rPr>
          <w:b w:val="0"/>
          <w:i w:val="0"/>
          <w:sz w:val="21"/>
        </w:rPr>
        <w:t>Solution: In infants, an upgoing Babinski is normal because the corticospinal tracts are not fully myelinated; it typically disappears by 12-24 months. Beyond that age it indicates upper motor neuron damage (b).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probability that a person with a positive screening test actually has the disease is the:</w:t>
      </w:r>
    </w:p>
    <w:p>
      <w:pPr>
        <w:spacing w:after="0" w:before="0"/>
      </w:pPr>
      <w:r>
        <w:rPr>
          <w:b w:val="0"/>
          <w:i w:val="0"/>
          <w:sz w:val="22"/>
        </w:rPr>
        <w:t>(a) Positive predictive value</w:t>
      </w:r>
    </w:p>
    <w:p>
      <w:pPr>
        <w:spacing w:after="0" w:before="0"/>
      </w:pPr>
      <w:r>
        <w:rPr>
          <w:b w:val="0"/>
          <w:i w:val="0"/>
          <w:sz w:val="22"/>
        </w:rPr>
        <w:t>(b) Sensitivity</w:t>
      </w:r>
    </w:p>
    <w:p>
      <w:pPr>
        <w:spacing w:after="0" w:before="0"/>
      </w:pPr>
      <w:r>
        <w:rPr>
          <w:b w:val="0"/>
          <w:i w:val="0"/>
          <w:sz w:val="22"/>
        </w:rPr>
        <w:t>(c) Specificity</w:t>
      </w:r>
    </w:p>
    <w:p>
      <w:pPr>
        <w:spacing w:after="0" w:before="0"/>
      </w:pPr>
      <w:r>
        <w:rPr>
          <w:b w:val="0"/>
          <w:i w:val="0"/>
          <w:sz w:val="22"/>
        </w:rPr>
        <w:t>(d) Prevalence</w:t>
      </w:r>
    </w:p>
    <w:p>
      <w:pPr>
        <w:spacing w:after="0" w:before="40"/>
      </w:pPr>
      <w:r>
        <w:rPr>
          <w:b/>
          <w:i w:val="0"/>
          <w:sz w:val="22"/>
        </w:rPr>
        <w:t>Answer: a</w:t>
      </w:r>
    </w:p>
    <w:p>
      <w:pPr>
        <w:spacing w:after="0" w:before="0"/>
      </w:pPr>
      <w:r>
        <w:rPr>
          <w:b w:val="0"/>
          <w:i w:val="0"/>
          <w:sz w:val="21"/>
        </w:rPr>
        <w:t>Solution: Positive predictive value = true positives divided by all positive test results—the chance that a positive result means the disease is truly present. Sensitivity (b) is the ability to detect true cases, and specificity (c) the ability to exclude non-cases.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India, the most peripheral health institution, the Sub-Centre, serves a population of about:</w:t>
      </w:r>
    </w:p>
    <w:p>
      <w:pPr>
        <w:spacing w:after="0" w:before="0"/>
      </w:pPr>
      <w:r>
        <w:rPr>
          <w:b w:val="0"/>
          <w:i w:val="0"/>
          <w:sz w:val="22"/>
        </w:rPr>
        <w:t>(a) 5,000 in plains and 3,000 in tribal or hilly areas</w:t>
      </w:r>
    </w:p>
    <w:p>
      <w:pPr>
        <w:spacing w:after="0" w:before="0"/>
      </w:pPr>
      <w:r>
        <w:rPr>
          <w:b w:val="0"/>
          <w:i w:val="0"/>
          <w:sz w:val="22"/>
        </w:rPr>
        <w:t>(b) 50,000 in plains and 30,000 in hilly areas</w:t>
      </w:r>
    </w:p>
    <w:p>
      <w:pPr>
        <w:spacing w:after="0" w:before="0"/>
      </w:pPr>
      <w:r>
        <w:rPr>
          <w:b w:val="0"/>
          <w:i w:val="0"/>
          <w:sz w:val="22"/>
        </w:rPr>
        <w:t>(c) 1,00,000 in plains</w:t>
      </w:r>
    </w:p>
    <w:p>
      <w:pPr>
        <w:spacing w:after="0" w:before="0"/>
      </w:pPr>
      <w:r>
        <w:rPr>
          <w:b w:val="0"/>
          <w:i w:val="0"/>
          <w:sz w:val="22"/>
        </w:rPr>
        <w:t>(d) 1,20,000 in plains and 80,000 in hilly areas</w:t>
      </w:r>
    </w:p>
    <w:p>
      <w:pPr>
        <w:spacing w:after="0" w:before="40"/>
      </w:pPr>
      <w:r>
        <w:rPr>
          <w:b/>
          <w:i w:val="0"/>
          <w:sz w:val="22"/>
        </w:rPr>
        <w:t>Answer: a</w:t>
      </w:r>
    </w:p>
    <w:p>
      <w:pPr>
        <w:spacing w:after="0" w:before="0"/>
      </w:pPr>
      <w:r>
        <w:rPr>
          <w:b w:val="0"/>
          <w:i w:val="0"/>
          <w:sz w:val="21"/>
        </w:rPr>
        <w:t>Solution: A Sub-Centre serves approximately 5,000 people in plain areas and 3,000 in tribal or hilly areas. The PHC serves about 30,000 (plains) and the CHC about 1,20,000 (plains), so the larger figures belong to higher-level facilities.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Programmed cell death that occurs as a normal, controlled process is termed:</w:t>
      </w:r>
    </w:p>
    <w:p>
      <w:pPr>
        <w:spacing w:after="0" w:before="0"/>
      </w:pPr>
      <w:r>
        <w:rPr>
          <w:b w:val="0"/>
          <w:i w:val="0"/>
          <w:sz w:val="22"/>
        </w:rPr>
        <w:t>(a) Apoptosis</w:t>
      </w:r>
    </w:p>
    <w:p>
      <w:pPr>
        <w:spacing w:after="0" w:before="0"/>
      </w:pPr>
      <w:r>
        <w:rPr>
          <w:b w:val="0"/>
          <w:i w:val="0"/>
          <w:sz w:val="22"/>
        </w:rPr>
        <w:t>(b) Necrosis</w:t>
      </w:r>
    </w:p>
    <w:p>
      <w:pPr>
        <w:spacing w:after="0" w:before="0"/>
      </w:pPr>
      <w:r>
        <w:rPr>
          <w:b w:val="0"/>
          <w:i w:val="0"/>
          <w:sz w:val="22"/>
        </w:rPr>
        <w:t>(c) Ischaemia</w:t>
      </w:r>
    </w:p>
    <w:p>
      <w:pPr>
        <w:spacing w:after="0" w:before="0"/>
      </w:pPr>
      <w:r>
        <w:rPr>
          <w:b w:val="0"/>
          <w:i w:val="0"/>
          <w:sz w:val="22"/>
        </w:rPr>
        <w:t>(d) Metaplasia</w:t>
      </w:r>
    </w:p>
    <w:p>
      <w:pPr>
        <w:spacing w:after="0" w:before="40"/>
      </w:pPr>
      <w:r>
        <w:rPr>
          <w:b/>
          <w:i w:val="0"/>
          <w:sz w:val="22"/>
        </w:rPr>
        <w:t>Answer: a</w:t>
      </w:r>
    </w:p>
    <w:p>
      <w:pPr>
        <w:spacing w:after="0" w:before="0"/>
      </w:pPr>
      <w:r>
        <w:rPr>
          <w:b w:val="0"/>
          <w:i w:val="0"/>
          <w:sz w:val="21"/>
        </w:rPr>
        <w:t>Solution: Apoptosis is programmed, orderly cell death without inflammation, important in development and tissue turnover. Necrosis (b) is unregulated cell death from injury with inflammation, and metaplasia (d) is a reversible change in cell type.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karyotype is:</w:t>
      </w:r>
    </w:p>
    <w:p>
      <w:pPr>
        <w:spacing w:after="0" w:before="0"/>
      </w:pPr>
      <w:r>
        <w:rPr>
          <w:b w:val="0"/>
          <w:i w:val="0"/>
          <w:sz w:val="22"/>
        </w:rPr>
        <w:t>(a) The visual arrangement of an individual's chromosomes by size and shape</w:t>
      </w:r>
    </w:p>
    <w:p>
      <w:pPr>
        <w:spacing w:after="0" w:before="0"/>
      </w:pPr>
      <w:r>
        <w:rPr>
          <w:b w:val="0"/>
          <w:i w:val="0"/>
          <w:sz w:val="22"/>
        </w:rPr>
        <w:t>(b) A test of gene mutation rates</w:t>
      </w:r>
    </w:p>
    <w:p>
      <w:pPr>
        <w:spacing w:after="0" w:before="0"/>
      </w:pPr>
      <w:r>
        <w:rPr>
          <w:b w:val="0"/>
          <w:i w:val="0"/>
          <w:sz w:val="22"/>
        </w:rPr>
        <w:t>(c) The sequence of DNA bases in a gene</w:t>
      </w:r>
    </w:p>
    <w:p>
      <w:pPr>
        <w:spacing w:after="0" w:before="0"/>
      </w:pPr>
      <w:r>
        <w:rPr>
          <w:b w:val="0"/>
          <w:i w:val="0"/>
          <w:sz w:val="22"/>
        </w:rPr>
        <w:t>(d) A count of red blood cells</w:t>
      </w:r>
    </w:p>
    <w:p>
      <w:pPr>
        <w:spacing w:after="0" w:before="40"/>
      </w:pPr>
      <w:r>
        <w:rPr>
          <w:b/>
          <w:i w:val="0"/>
          <w:sz w:val="22"/>
        </w:rPr>
        <w:t>Answer: a</w:t>
      </w:r>
    </w:p>
    <w:p>
      <w:pPr>
        <w:spacing w:after="0" w:before="0"/>
      </w:pPr>
      <w:r>
        <w:rPr>
          <w:b w:val="0"/>
          <w:i w:val="0"/>
          <w:sz w:val="21"/>
        </w:rPr>
        <w:t>Solution: A karyotype is a photomicrograph of a cell's chromosomes arranged in pairs by size, shape, and banding pattern, used to detect chromosomal abnormalities such as trisomies.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