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before="120"/>
      </w:pPr>
      <w:r>
        <w:rPr>
          <w:b w:val="0"/>
          <w:i w:val="0"/>
          <w:sz w:val="22"/>
        </w:rPr>
        <w:t>Question: A client on oxygen therapy is switched to a non-rebreather mask. Which finding indicates the mask is functioning correctly?</w:t>
      </w:r>
    </w:p>
    <w:p>
      <w:pPr>
        <w:spacing w:after="0" w:before="0"/>
      </w:pPr>
      <w:r>
        <w:rPr>
          <w:b w:val="0"/>
          <w:i w:val="0"/>
          <w:sz w:val="22"/>
        </w:rPr>
        <w:t>(a) The reservoir bag remains inflated during inspiration</w:t>
      </w:r>
    </w:p>
    <w:p>
      <w:pPr>
        <w:spacing w:after="0" w:before="0"/>
      </w:pPr>
      <w:r>
        <w:rPr>
          <w:b w:val="0"/>
          <w:i w:val="0"/>
          <w:sz w:val="22"/>
        </w:rPr>
        <w:t>(b) The reservoir bag deflates completely with each breath</w:t>
      </w:r>
    </w:p>
    <w:p>
      <w:pPr>
        <w:spacing w:after="0" w:before="0"/>
      </w:pPr>
      <w:r>
        <w:rPr>
          <w:b w:val="0"/>
          <w:i w:val="0"/>
          <w:sz w:val="22"/>
        </w:rPr>
        <w:t>(c) The flow is set at 2 L/min</w:t>
      </w:r>
    </w:p>
    <w:p>
      <w:pPr>
        <w:spacing w:after="0" w:before="0"/>
      </w:pPr>
      <w:r>
        <w:rPr>
          <w:b w:val="0"/>
          <w:i w:val="0"/>
          <w:sz w:val="22"/>
        </w:rPr>
        <w:t>(d) The side ports are open to room air</w:t>
      </w:r>
    </w:p>
    <w:p>
      <w:pPr>
        <w:spacing w:after="0" w:before="40"/>
      </w:pPr>
      <w:r>
        <w:rPr>
          <w:b/>
          <w:i w:val="0"/>
          <w:sz w:val="22"/>
        </w:rPr>
        <w:t>Answer: a</w:t>
      </w:r>
    </w:p>
    <w:p>
      <w:pPr>
        <w:spacing w:after="0" w:before="0"/>
      </w:pPr>
      <w:r>
        <w:rPr>
          <w:b w:val="0"/>
          <w:i w:val="0"/>
          <w:sz w:val="21"/>
        </w:rPr>
        <w:t>Solution: In a non-rebreather mask, the reservoir bag must stay inflated during inspiration to deliver high-concentration oxygen; deflation (b) means the flow is too low or the bag is disconnected. Flow is set higher (c), and the one-way valves prevent room-air dilution (d).</w:t>
      </w:r>
    </w:p>
    <w:p>
      <w:pPr>
        <w:spacing w:after="0" w:before="0"/>
      </w:pPr>
      <w:r>
        <w:rPr>
          <w:b w:val="0"/>
          <w:i w:val="0"/>
          <w:sz w:val="20"/>
        </w:rPr>
        <w:t>Positive Marks: 1</w:t>
      </w:r>
    </w:p>
    <w:p>
      <w:pPr>
        <w:spacing w:after="160" w:before="0"/>
      </w:pPr>
      <w:r>
        <w:rPr>
          <w:b w:val="0"/>
          <w:i w:val="0"/>
          <w:sz w:val="20"/>
        </w:rPr>
        <w:t>Negative Marks: 0.25</w:t>
      </w:r>
    </w:p>
    <w:p>
      <w:pPr>
        <w:spacing w:after="40" w:before="120"/>
      </w:pPr>
      <w:r>
        <w:rPr>
          <w:b w:val="0"/>
          <w:i w:val="0"/>
          <w:sz w:val="22"/>
        </w:rPr>
        <w:t>Question: Which is the correct technique for inserting an oropharyngeal airway?</w:t>
      </w:r>
    </w:p>
    <w:p>
      <w:pPr>
        <w:spacing w:after="0" w:before="0"/>
      </w:pPr>
      <w:r>
        <w:rPr>
          <w:b w:val="0"/>
          <w:i w:val="0"/>
          <w:sz w:val="22"/>
        </w:rPr>
        <w:t>(a) Insert it curved side down and rotate 180 degrees once past the teeth</w:t>
      </w:r>
    </w:p>
    <w:p>
      <w:pPr>
        <w:spacing w:after="0" w:before="0"/>
      </w:pPr>
      <w:r>
        <w:rPr>
          <w:b w:val="0"/>
          <w:i w:val="0"/>
          <w:sz w:val="22"/>
        </w:rPr>
        <w:t>(b) Insert it curved side up directly</w:t>
      </w:r>
    </w:p>
    <w:p>
      <w:pPr>
        <w:spacing w:after="0" w:before="0"/>
      </w:pPr>
      <w:r>
        <w:rPr>
          <w:b w:val="0"/>
          <w:i w:val="0"/>
          <w:sz w:val="22"/>
        </w:rPr>
        <w:t>(c) Insert it with the tip pointing toward the roof of the mouth and leave it</w:t>
      </w:r>
    </w:p>
    <w:p>
      <w:pPr>
        <w:spacing w:after="0" w:before="0"/>
      </w:pPr>
      <w:r>
        <w:rPr>
          <w:b w:val="0"/>
          <w:i w:val="0"/>
          <w:sz w:val="22"/>
        </w:rPr>
        <w:t>(d) Lubricate it heavily and push it in quickly</w:t>
      </w:r>
    </w:p>
    <w:p>
      <w:pPr>
        <w:spacing w:after="0" w:before="40"/>
      </w:pPr>
      <w:r>
        <w:rPr>
          <w:b/>
          <w:i w:val="0"/>
          <w:sz w:val="22"/>
        </w:rPr>
        <w:t>Answer: a</w:t>
      </w:r>
    </w:p>
    <w:p>
      <w:pPr>
        <w:spacing w:after="0" w:before="0"/>
      </w:pPr>
      <w:r>
        <w:rPr>
          <w:b w:val="0"/>
          <w:i w:val="0"/>
          <w:sz w:val="21"/>
        </w:rPr>
        <w:t>Solution: An oropharyngeal airway is inserted with the curve following the palate (curved side down or up depending on technique) and rotated so the distal end sits behind the tongue, holding it forward. The other options risk pushing the tongue back or damaging tissue.</w:t>
      </w:r>
    </w:p>
    <w:p>
      <w:pPr>
        <w:spacing w:after="0" w:before="0"/>
      </w:pPr>
      <w:r>
        <w:rPr>
          <w:b w:val="0"/>
          <w:i w:val="0"/>
          <w:sz w:val="20"/>
        </w:rPr>
        <w:t>Positive Marks: 1</w:t>
      </w:r>
    </w:p>
    <w:p>
      <w:pPr>
        <w:spacing w:after="160" w:before="0"/>
      </w:pPr>
      <w:r>
        <w:rPr>
          <w:b w:val="0"/>
          <w:i w:val="0"/>
          <w:sz w:val="20"/>
        </w:rPr>
        <w:t>Negative Marks: 0.25</w:t>
      </w:r>
    </w:p>
    <w:p>
      <w:pPr>
        <w:spacing w:after="40" w:before="120"/>
      </w:pPr>
      <w:r>
        <w:rPr>
          <w:b w:val="0"/>
          <w:i w:val="0"/>
          <w:sz w:val="22"/>
        </w:rPr>
        <w:t>Question: Which client is at highest risk for falls?</w:t>
      </w:r>
    </w:p>
    <w:p>
      <w:pPr>
        <w:spacing w:after="0" w:before="0"/>
      </w:pPr>
      <w:r>
        <w:rPr>
          <w:b w:val="0"/>
          <w:i w:val="0"/>
          <w:sz w:val="22"/>
        </w:rPr>
        <w:t>(a) An older client who is confused and tries to get out of bed without help</w:t>
      </w:r>
    </w:p>
    <w:p>
      <w:pPr>
        <w:spacing w:after="0" w:before="0"/>
      </w:pPr>
      <w:r>
        <w:rPr>
          <w:b w:val="0"/>
          <w:i w:val="0"/>
          <w:sz w:val="22"/>
        </w:rPr>
        <w:t>(b) A young client with a sprained ankle on crutches</w:t>
      </w:r>
    </w:p>
    <w:p>
      <w:pPr>
        <w:spacing w:after="0" w:before="0"/>
      </w:pPr>
      <w:r>
        <w:rPr>
          <w:b w:val="0"/>
          <w:i w:val="0"/>
          <w:sz w:val="22"/>
        </w:rPr>
        <w:t>(c) A client who is independent with ambulation</w:t>
      </w:r>
    </w:p>
    <w:p>
      <w:pPr>
        <w:spacing w:after="0" w:before="0"/>
      </w:pPr>
      <w:r>
        <w:rPr>
          <w:b w:val="0"/>
          <w:i w:val="0"/>
          <w:sz w:val="22"/>
        </w:rPr>
        <w:t>(d) A client sleeping with the side rails up</w:t>
      </w:r>
    </w:p>
    <w:p>
      <w:pPr>
        <w:spacing w:after="0" w:before="40"/>
      </w:pPr>
      <w:r>
        <w:rPr>
          <w:b/>
          <w:i w:val="0"/>
          <w:sz w:val="22"/>
        </w:rPr>
        <w:t>Answer: a</w:t>
      </w:r>
    </w:p>
    <w:p>
      <w:pPr>
        <w:spacing w:after="0" w:before="0"/>
      </w:pPr>
      <w:r>
        <w:rPr>
          <w:b w:val="0"/>
          <w:i w:val="0"/>
          <w:sz w:val="21"/>
        </w:rPr>
        <w:t>Solution: Confusion with unsafe mobility is a major fall risk; such clients need closer supervision, bed alarms, and frequent checks. The other clients have lower or managed risk.</w:t>
      </w:r>
    </w:p>
    <w:p>
      <w:pPr>
        <w:spacing w:after="0" w:before="0"/>
      </w:pPr>
      <w:r>
        <w:rPr>
          <w:b w:val="0"/>
          <w:i w:val="0"/>
          <w:sz w:val="20"/>
        </w:rPr>
        <w:t>Positive Marks: 1</w:t>
      </w:r>
    </w:p>
    <w:p>
      <w:pPr>
        <w:spacing w:after="160" w:before="0"/>
      </w:pPr>
      <w:r>
        <w:rPr>
          <w:b w:val="0"/>
          <w:i w:val="0"/>
          <w:sz w:val="20"/>
        </w:rPr>
        <w:t>Negative Marks: 0.25</w:t>
      </w:r>
    </w:p>
    <w:p>
      <w:pPr>
        <w:spacing w:after="40" w:before="120"/>
      </w:pPr>
      <w:r>
        <w:rPr>
          <w:b w:val="0"/>
          <w:i w:val="0"/>
          <w:sz w:val="22"/>
        </w:rPr>
        <w:t>Question: When does discharge planning begin for a hospitalized client?</w:t>
      </w:r>
    </w:p>
    <w:p>
      <w:pPr>
        <w:spacing w:after="0" w:before="0"/>
      </w:pPr>
      <w:r>
        <w:rPr>
          <w:b w:val="0"/>
          <w:i w:val="0"/>
          <w:sz w:val="22"/>
        </w:rPr>
        <w:t>(a) At the time of admission</w:t>
      </w:r>
    </w:p>
    <w:p>
      <w:pPr>
        <w:spacing w:after="0" w:before="0"/>
      </w:pPr>
      <w:r>
        <w:rPr>
          <w:b w:val="0"/>
          <w:i w:val="0"/>
          <w:sz w:val="22"/>
        </w:rPr>
        <w:t>(b) On the day of discharge</w:t>
      </w:r>
    </w:p>
    <w:p>
      <w:pPr>
        <w:spacing w:after="0" w:before="0"/>
      </w:pPr>
      <w:r>
        <w:rPr>
          <w:b w:val="0"/>
          <w:i w:val="0"/>
          <w:sz w:val="22"/>
        </w:rPr>
        <w:t>(c) After the physician writes the discharge order</w:t>
      </w:r>
    </w:p>
    <w:p>
      <w:pPr>
        <w:spacing w:after="0" w:before="0"/>
      </w:pPr>
      <w:r>
        <w:rPr>
          <w:b w:val="0"/>
          <w:i w:val="0"/>
          <w:sz w:val="22"/>
        </w:rPr>
        <w:t>(d) Once the client is stable</w:t>
      </w:r>
    </w:p>
    <w:p>
      <w:pPr>
        <w:spacing w:after="0" w:before="40"/>
      </w:pPr>
      <w:r>
        <w:rPr>
          <w:b/>
          <w:i w:val="0"/>
          <w:sz w:val="22"/>
        </w:rPr>
        <w:t>Answer: a</w:t>
      </w:r>
    </w:p>
    <w:p>
      <w:pPr>
        <w:spacing w:after="0" w:before="0"/>
      </w:pPr>
      <w:r>
        <w:rPr>
          <w:b w:val="0"/>
          <w:i w:val="0"/>
          <w:sz w:val="21"/>
        </w:rPr>
        <w:t>Solution: Discharge planning begins at admission and continues throughout the hospital stay, so the client and family are prepared for home care in advance. Starting at discharge (b) leaves no time for teaching and arrangements.</w:t>
      </w:r>
    </w:p>
    <w:p>
      <w:pPr>
        <w:spacing w:after="0" w:before="0"/>
      </w:pPr>
      <w:r>
        <w:rPr>
          <w:b w:val="0"/>
          <w:i w:val="0"/>
          <w:sz w:val="20"/>
        </w:rPr>
        <w:t>Positive Marks: 1</w:t>
      </w:r>
    </w:p>
    <w:p>
      <w:pPr>
        <w:spacing w:after="160" w:before="0"/>
      </w:pPr>
      <w:r>
        <w:rPr>
          <w:b w:val="0"/>
          <w:i w:val="0"/>
          <w:sz w:val="20"/>
        </w:rPr>
        <w:t>Negative Marks: 0.25</w:t>
      </w:r>
    </w:p>
    <w:p>
      <w:pPr>
        <w:spacing w:after="40" w:before="120"/>
      </w:pPr>
      <w:r>
        <w:rPr>
          <w:b w:val="0"/>
          <w:i w:val="0"/>
          <w:sz w:val="22"/>
        </w:rPr>
        <w:t>Question: A buccal medication is prescribed for a client. Which instruction is correct?</w:t>
      </w:r>
    </w:p>
    <w:p>
      <w:pPr>
        <w:spacing w:after="0" w:before="0"/>
      </w:pPr>
      <w:r>
        <w:rPr>
          <w:b w:val="0"/>
          <w:i w:val="0"/>
          <w:sz w:val="22"/>
        </w:rPr>
        <w:t>(a) Place the tablet between the cheek and gum and allow it to dissolve</w:t>
      </w:r>
    </w:p>
    <w:p>
      <w:pPr>
        <w:spacing w:after="0" w:before="0"/>
      </w:pPr>
      <w:r>
        <w:rPr>
          <w:b w:val="0"/>
          <w:i w:val="0"/>
          <w:sz w:val="22"/>
        </w:rPr>
        <w:t>(b) Swallow the tablet whole with water</w:t>
      </w:r>
    </w:p>
    <w:p>
      <w:pPr>
        <w:spacing w:after="0" w:before="0"/>
      </w:pPr>
      <w:r>
        <w:rPr>
          <w:b w:val="0"/>
          <w:i w:val="0"/>
          <w:sz w:val="22"/>
        </w:rPr>
        <w:t>(c) Chew the tablet and swallow it</w:t>
      </w:r>
    </w:p>
    <w:p>
      <w:pPr>
        <w:spacing w:after="0" w:before="0"/>
      </w:pPr>
      <w:r>
        <w:rPr>
          <w:b w:val="0"/>
          <w:i w:val="0"/>
          <w:sz w:val="22"/>
        </w:rPr>
        <w:t>(d) Crush the tablet and mix it with food</w:t>
      </w:r>
    </w:p>
    <w:p>
      <w:pPr>
        <w:spacing w:after="0" w:before="40"/>
      </w:pPr>
      <w:r>
        <w:rPr>
          <w:b/>
          <w:i w:val="0"/>
          <w:sz w:val="22"/>
        </w:rPr>
        <w:t>Answer: a</w:t>
      </w:r>
    </w:p>
    <w:p>
      <w:pPr>
        <w:spacing w:after="0" w:before="0"/>
      </w:pPr>
      <w:r>
        <w:rPr>
          <w:b w:val="0"/>
          <w:i w:val="0"/>
          <w:sz w:val="21"/>
        </w:rPr>
        <w:t>Solution: Buccal medications are placed between the cheek and gum to dissolve and absorb through the oral mucosa; they should not be swallowed, chewed, or crushed. The same applies to sublingual tablets under the tongue.</w:t>
      </w:r>
    </w:p>
    <w:p>
      <w:pPr>
        <w:spacing w:after="0" w:before="0"/>
      </w:pPr>
      <w:r>
        <w:rPr>
          <w:b w:val="0"/>
          <w:i w:val="0"/>
          <w:sz w:val="20"/>
        </w:rPr>
        <w:t>Positive Marks: 1</w:t>
      </w:r>
    </w:p>
    <w:p>
      <w:pPr>
        <w:spacing w:after="160" w:before="0"/>
      </w:pPr>
      <w:r>
        <w:rPr>
          <w:b w:val="0"/>
          <w:i w:val="0"/>
          <w:sz w:val="20"/>
        </w:rPr>
        <w:t>Negative Marks: 0.25</w:t>
      </w:r>
    </w:p>
    <w:p>
      <w:pPr>
        <w:spacing w:after="40" w:before="120"/>
      </w:pPr>
      <w:r>
        <w:rPr>
          <w:b w:val="0"/>
          <w:i w:val="0"/>
          <w:sz w:val="22"/>
        </w:rPr>
        <w:t>Question: Which is correct when applying a transdermal medication patch?</w:t>
      </w:r>
    </w:p>
    <w:p>
      <w:pPr>
        <w:spacing w:after="0" w:before="0"/>
      </w:pPr>
      <w:r>
        <w:rPr>
          <w:b w:val="0"/>
          <w:i w:val="0"/>
          <w:sz w:val="22"/>
        </w:rPr>
        <w:t>(a) Rotate sites and remove the old patch before applying a new one</w:t>
      </w:r>
    </w:p>
    <w:p>
      <w:pPr>
        <w:spacing w:after="0" w:before="0"/>
      </w:pPr>
      <w:r>
        <w:rPr>
          <w:b w:val="0"/>
          <w:i w:val="0"/>
          <w:sz w:val="22"/>
        </w:rPr>
        <w:t>(b) Apply the new patch over the old one</w:t>
      </w:r>
    </w:p>
    <w:p>
      <w:pPr>
        <w:spacing w:after="0" w:before="0"/>
      </w:pPr>
      <w:r>
        <w:rPr>
          <w:b w:val="0"/>
          <w:i w:val="0"/>
          <w:sz w:val="22"/>
        </w:rPr>
        <w:t>(c) Apply the patch to the same site every time</w:t>
      </w:r>
    </w:p>
    <w:p>
      <w:pPr>
        <w:spacing w:after="0" w:before="0"/>
      </w:pPr>
      <w:r>
        <w:rPr>
          <w:b w:val="0"/>
          <w:i w:val="0"/>
          <w:sz w:val="22"/>
        </w:rPr>
        <w:t>(d) Wash the site with soap just before reapplication is not needed</w:t>
      </w:r>
    </w:p>
    <w:p>
      <w:pPr>
        <w:spacing w:after="0" w:before="40"/>
      </w:pPr>
      <w:r>
        <w:rPr>
          <w:b/>
          <w:i w:val="0"/>
          <w:sz w:val="22"/>
        </w:rPr>
        <w:t>Answer: a</w:t>
      </w:r>
    </w:p>
    <w:p>
      <w:pPr>
        <w:spacing w:after="0" w:before="0"/>
      </w:pPr>
      <w:r>
        <w:rPr>
          <w:b w:val="0"/>
          <w:i w:val="0"/>
          <w:sz w:val="21"/>
        </w:rPr>
        <w:t>Solution: The old patch is removed before the new one is applied, and sites are rotated to prevent skin irritation and ensure consistent absorption. Applying over the old patch (b) or same site (c) causes irritation and overdose.</w:t>
      </w:r>
    </w:p>
    <w:p>
      <w:pPr>
        <w:spacing w:after="0" w:before="0"/>
      </w:pPr>
      <w:r>
        <w:rPr>
          <w:b w:val="0"/>
          <w:i w:val="0"/>
          <w:sz w:val="20"/>
        </w:rPr>
        <w:t>Positive Marks: 1</w:t>
      </w:r>
    </w:p>
    <w:p>
      <w:pPr>
        <w:spacing w:after="160" w:before="0"/>
      </w:pPr>
      <w:r>
        <w:rPr>
          <w:b w:val="0"/>
          <w:i w:val="0"/>
          <w:sz w:val="20"/>
        </w:rPr>
        <w:t>Negative Marks: 0.25</w:t>
      </w:r>
    </w:p>
    <w:p>
      <w:pPr>
        <w:spacing w:after="40" w:before="120"/>
      </w:pPr>
      <w:r>
        <w:rPr>
          <w:b w:val="0"/>
          <w:i w:val="0"/>
          <w:sz w:val="22"/>
        </w:rPr>
        <w:t>Question: Medication reconciliation is performed at which point?</w:t>
      </w:r>
    </w:p>
    <w:p>
      <w:pPr>
        <w:spacing w:after="0" w:before="0"/>
      </w:pPr>
      <w:r>
        <w:rPr>
          <w:b w:val="0"/>
          <w:i w:val="0"/>
          <w:sz w:val="22"/>
        </w:rPr>
        <w:t>(a) At every transition of care, including admission, transfer, and discharge</w:t>
      </w:r>
    </w:p>
    <w:p>
      <w:pPr>
        <w:spacing w:after="0" w:before="0"/>
      </w:pPr>
      <w:r>
        <w:rPr>
          <w:b w:val="0"/>
          <w:i w:val="0"/>
          <w:sz w:val="22"/>
        </w:rPr>
        <w:t>(b) Only at the time of admission</w:t>
      </w:r>
    </w:p>
    <w:p>
      <w:pPr>
        <w:spacing w:after="0" w:before="0"/>
      </w:pPr>
      <w:r>
        <w:rPr>
          <w:b w:val="0"/>
          <w:i w:val="0"/>
          <w:sz w:val="22"/>
        </w:rPr>
        <w:t>(c) Only at discharge</w:t>
      </w:r>
    </w:p>
    <w:p>
      <w:pPr>
        <w:spacing w:after="0" w:before="0"/>
      </w:pPr>
      <w:r>
        <w:rPr>
          <w:b w:val="0"/>
          <w:i w:val="0"/>
          <w:sz w:val="22"/>
        </w:rPr>
        <w:t>(d) Only when a medication error occurs</w:t>
      </w:r>
    </w:p>
    <w:p>
      <w:pPr>
        <w:spacing w:after="0" w:before="40"/>
      </w:pPr>
      <w:r>
        <w:rPr>
          <w:b/>
          <w:i w:val="0"/>
          <w:sz w:val="22"/>
        </w:rPr>
        <w:t>Answer: a</w:t>
      </w:r>
    </w:p>
    <w:p>
      <w:pPr>
        <w:spacing w:after="0" w:before="0"/>
      </w:pPr>
      <w:r>
        <w:rPr>
          <w:b w:val="0"/>
          <w:i w:val="0"/>
          <w:sz w:val="21"/>
        </w:rPr>
        <w:t>Solution: Medication reconciliation compares the client's medication list at every transition—admission, transfer between units, and discharge—to prevent omissions, duplications, and interactions. Doing it only once (b, c) misses errors at other transitions.</w:t>
      </w:r>
    </w:p>
    <w:p>
      <w:pPr>
        <w:spacing w:after="0" w:before="0"/>
      </w:pPr>
      <w:r>
        <w:rPr>
          <w:b w:val="0"/>
          <w:i w:val="0"/>
          <w:sz w:val="20"/>
        </w:rPr>
        <w:t>Positive Marks: 1</w:t>
      </w:r>
    </w:p>
    <w:p>
      <w:pPr>
        <w:spacing w:after="160" w:before="0"/>
      </w:pPr>
      <w:r>
        <w:rPr>
          <w:b w:val="0"/>
          <w:i w:val="0"/>
          <w:sz w:val="20"/>
        </w:rPr>
        <w:t>Negative Marks: 0.25</w:t>
      </w:r>
    </w:p>
    <w:p>
      <w:pPr>
        <w:spacing w:after="40" w:before="120"/>
      </w:pPr>
      <w:r>
        <w:rPr>
          <w:b w:val="0"/>
          <w:i w:val="0"/>
          <w:sz w:val="22"/>
        </w:rPr>
        <w:t>Question: A client with diabetic ketoacidosis breathes deeply and rapidly. Which respiratory pattern is this?</w:t>
      </w:r>
    </w:p>
    <w:p>
      <w:pPr>
        <w:spacing w:after="0" w:before="0"/>
      </w:pPr>
      <w:r>
        <w:rPr>
          <w:b w:val="0"/>
          <w:i w:val="0"/>
          <w:sz w:val="22"/>
        </w:rPr>
        <w:t>(a) Kussmaul respirations</w:t>
      </w:r>
    </w:p>
    <w:p>
      <w:pPr>
        <w:spacing w:after="0" w:before="0"/>
      </w:pPr>
      <w:r>
        <w:rPr>
          <w:b w:val="0"/>
          <w:i w:val="0"/>
          <w:sz w:val="22"/>
        </w:rPr>
        <w:t>(b) Cheyne-Stokes respirations</w:t>
      </w:r>
    </w:p>
    <w:p>
      <w:pPr>
        <w:spacing w:after="0" w:before="0"/>
      </w:pPr>
      <w:r>
        <w:rPr>
          <w:b w:val="0"/>
          <w:i w:val="0"/>
          <w:sz w:val="22"/>
        </w:rPr>
        <w:t>(c) Biot respirations</w:t>
      </w:r>
    </w:p>
    <w:p>
      <w:pPr>
        <w:spacing w:after="0" w:before="0"/>
      </w:pPr>
      <w:r>
        <w:rPr>
          <w:b w:val="0"/>
          <w:i w:val="0"/>
          <w:sz w:val="22"/>
        </w:rPr>
        <w:t>(d) Apneustic breathing</w:t>
      </w:r>
    </w:p>
    <w:p>
      <w:pPr>
        <w:spacing w:after="0" w:before="40"/>
      </w:pPr>
      <w:r>
        <w:rPr>
          <w:b/>
          <w:i w:val="0"/>
          <w:sz w:val="22"/>
        </w:rPr>
        <w:t>Answer: a</w:t>
      </w:r>
    </w:p>
    <w:p>
      <w:pPr>
        <w:spacing w:after="0" w:before="0"/>
      </w:pPr>
      <w:r>
        <w:rPr>
          <w:b w:val="0"/>
          <w:i w:val="0"/>
          <w:sz w:val="21"/>
        </w:rPr>
        <w:t>Solution: Kussmaul respirations are deep, rapid, sighing breaths that compensate for metabolic acidosis, as in DKA. Cheyne-Stokes (b) is waxing-waning with apnoea, Biot (c) is irregular with pauses, and apneustic (d) has prolonged inspiration.</w:t>
      </w:r>
    </w:p>
    <w:p>
      <w:pPr>
        <w:spacing w:after="0" w:before="0"/>
      </w:pPr>
      <w:r>
        <w:rPr>
          <w:b w:val="0"/>
          <w:i w:val="0"/>
          <w:sz w:val="20"/>
        </w:rPr>
        <w:t>Positive Marks: 1</w:t>
      </w:r>
    </w:p>
    <w:p>
      <w:pPr>
        <w:spacing w:after="160" w:before="0"/>
      </w:pPr>
      <w:r>
        <w:rPr>
          <w:b w:val="0"/>
          <w:i w:val="0"/>
          <w:sz w:val="20"/>
        </w:rPr>
        <w:t>Negative Marks: 0.25</w:t>
      </w:r>
    </w:p>
    <w:p>
      <w:pPr>
        <w:spacing w:after="40" w:before="120"/>
      </w:pPr>
      <w:r>
        <w:rPr>
          <w:b w:val="0"/>
          <w:i w:val="0"/>
          <w:sz w:val="22"/>
        </w:rPr>
        <w:t>Question: A 30-year-old woman has fatigue, pallor, and shortness of breath on exertion. Her haemoglobin is 9 g/dL with microcytic, hypochromic red cells. Which is the most likely cause of this anaemia?</w:t>
      </w:r>
    </w:p>
    <w:p>
      <w:pPr>
        <w:spacing w:after="0" w:before="0"/>
      </w:pPr>
      <w:r>
        <w:rPr>
          <w:b w:val="0"/>
          <w:i w:val="0"/>
          <w:sz w:val="22"/>
        </w:rPr>
        <w:t>(a) Chronic blood loss causing iron deficiency</w:t>
      </w:r>
    </w:p>
    <w:p>
      <w:pPr>
        <w:spacing w:after="0" w:before="0"/>
      </w:pPr>
      <w:r>
        <w:rPr>
          <w:b w:val="0"/>
          <w:i w:val="0"/>
          <w:sz w:val="22"/>
        </w:rPr>
        <w:t>(b) Vitamin B12 deficiency</w:t>
      </w:r>
    </w:p>
    <w:p>
      <w:pPr>
        <w:spacing w:after="0" w:before="0"/>
      </w:pPr>
      <w:r>
        <w:rPr>
          <w:b w:val="0"/>
          <w:i w:val="0"/>
          <w:sz w:val="22"/>
        </w:rPr>
        <w:t>(c) Folate deficiency</w:t>
      </w:r>
    </w:p>
    <w:p>
      <w:pPr>
        <w:spacing w:after="0" w:before="0"/>
      </w:pPr>
      <w:r>
        <w:rPr>
          <w:b w:val="0"/>
          <w:i w:val="0"/>
          <w:sz w:val="22"/>
        </w:rPr>
        <w:t>(d) Sickle cell disease</w:t>
      </w:r>
    </w:p>
    <w:p>
      <w:pPr>
        <w:spacing w:after="0" w:before="40"/>
      </w:pPr>
      <w:r>
        <w:rPr>
          <w:b/>
          <w:i w:val="0"/>
          <w:sz w:val="22"/>
        </w:rPr>
        <w:t>Answer: a</w:t>
      </w:r>
    </w:p>
    <w:p>
      <w:pPr>
        <w:spacing w:after="0" w:before="0"/>
      </w:pPr>
      <w:r>
        <w:rPr>
          <w:b w:val="0"/>
          <w:i w:val="0"/>
          <w:sz w:val="21"/>
        </w:rPr>
        <w:t>Solution: Microcytic hypochromic anaemia with a low haemoglobin in a young woman most commonly reflects iron deficiency from chronic blood loss such as heavy menstruation. B12 (b) and folate (c) cause macrocytic anaemia, and sickle cell (d) shows sickled cells.</w:t>
      </w:r>
    </w:p>
    <w:p>
      <w:pPr>
        <w:spacing w:after="0" w:before="0"/>
      </w:pPr>
      <w:r>
        <w:rPr>
          <w:b w:val="0"/>
          <w:i w:val="0"/>
          <w:sz w:val="20"/>
        </w:rPr>
        <w:t>Positive Marks: 1</w:t>
      </w:r>
    </w:p>
    <w:p>
      <w:pPr>
        <w:spacing w:after="160" w:before="0"/>
      </w:pPr>
      <w:r>
        <w:rPr>
          <w:b w:val="0"/>
          <w:i w:val="0"/>
          <w:sz w:val="20"/>
        </w:rPr>
        <w:t>Negative Marks: 0.25</w:t>
      </w:r>
    </w:p>
    <w:p>
      <w:pPr>
        <w:spacing w:after="40" w:before="120"/>
      </w:pPr>
      <w:r>
        <w:rPr>
          <w:b w:val="0"/>
          <w:i w:val="0"/>
          <w:sz w:val="22"/>
        </w:rPr>
        <w:t>Question: A client develops pain over the lateral epicondyle of the elbow after repetitive wrist movements. Which condition is this?</w:t>
      </w:r>
    </w:p>
    <w:p>
      <w:pPr>
        <w:spacing w:after="0" w:before="0"/>
      </w:pPr>
      <w:r>
        <w:rPr>
          <w:b w:val="0"/>
          <w:i w:val="0"/>
          <w:sz w:val="22"/>
        </w:rPr>
        <w:t>(a) Lateral epicondylitis (tennis elbow)</w:t>
      </w:r>
    </w:p>
    <w:p>
      <w:pPr>
        <w:spacing w:after="0" w:before="0"/>
      </w:pPr>
      <w:r>
        <w:rPr>
          <w:b w:val="0"/>
          <w:i w:val="0"/>
          <w:sz w:val="22"/>
        </w:rPr>
        <w:t>(b) Carpal tunnel syndrome</w:t>
      </w:r>
    </w:p>
    <w:p>
      <w:pPr>
        <w:spacing w:after="0" w:before="0"/>
      </w:pPr>
      <w:r>
        <w:rPr>
          <w:b w:val="0"/>
          <w:i w:val="0"/>
          <w:sz w:val="22"/>
        </w:rPr>
        <w:t>(c) Ganglion cyst</w:t>
      </w:r>
    </w:p>
    <w:p>
      <w:pPr>
        <w:spacing w:after="0" w:before="0"/>
      </w:pPr>
      <w:r>
        <w:rPr>
          <w:b w:val="0"/>
          <w:i w:val="0"/>
          <w:sz w:val="22"/>
        </w:rPr>
        <w:t>(d) De Quervain tenosynovitis</w:t>
      </w:r>
    </w:p>
    <w:p>
      <w:pPr>
        <w:spacing w:after="0" w:before="40"/>
      </w:pPr>
      <w:r>
        <w:rPr>
          <w:b/>
          <w:i w:val="0"/>
          <w:sz w:val="22"/>
        </w:rPr>
        <w:t>Answer: a</w:t>
      </w:r>
    </w:p>
    <w:p>
      <w:pPr>
        <w:spacing w:after="0" w:before="0"/>
      </w:pPr>
      <w:r>
        <w:rPr>
          <w:b w:val="0"/>
          <w:i w:val="0"/>
          <w:sz w:val="21"/>
        </w:rPr>
        <w:t>Solution: Lateral epicondylitis—tennis elbow—is inflammation of the common extensor tendon at the lateral epicondyle from repetitive wrist extension. Carpal tunnel (b) causes wrist/hand paraesthesia, and the others have different locations.</w:t>
      </w:r>
    </w:p>
    <w:p>
      <w:pPr>
        <w:spacing w:after="0" w:before="0"/>
      </w:pPr>
      <w:r>
        <w:rPr>
          <w:b w:val="0"/>
          <w:i w:val="0"/>
          <w:sz w:val="20"/>
        </w:rPr>
        <w:t>Positive Marks: 1</w:t>
      </w:r>
    </w:p>
    <w:p>
      <w:pPr>
        <w:spacing w:after="160" w:before="0"/>
      </w:pPr>
      <w:r>
        <w:rPr>
          <w:b w:val="0"/>
          <w:i w:val="0"/>
          <w:sz w:val="20"/>
        </w:rPr>
        <w:t>Negative Marks: 0.25</w:t>
      </w:r>
    </w:p>
    <w:p>
      <w:pPr>
        <w:spacing w:after="40" w:before="120"/>
      </w:pPr>
      <w:r>
        <w:rPr>
          <w:b w:val="0"/>
          <w:i w:val="0"/>
          <w:sz w:val="22"/>
        </w:rPr>
        <w:t>Question: A client who had a previous lower-segment caesarean delivery asks about vaginal birth in this pregnancy. The trial of labour is contraindicated if:</w:t>
      </w:r>
    </w:p>
    <w:p>
      <w:pPr>
        <w:spacing w:after="0" w:before="0"/>
      </w:pPr>
      <w:r>
        <w:rPr>
          <w:b w:val="0"/>
          <w:i w:val="0"/>
          <w:sz w:val="22"/>
        </w:rPr>
        <w:t>(a) The previous incision was a classical (vertical) uterine incision</w:t>
      </w:r>
    </w:p>
    <w:p>
      <w:pPr>
        <w:spacing w:after="0" w:before="0"/>
      </w:pPr>
      <w:r>
        <w:rPr>
          <w:b w:val="0"/>
          <w:i w:val="0"/>
          <w:sz w:val="22"/>
        </w:rPr>
        <w:t>(b) The previous incision was low transverse</w:t>
      </w:r>
    </w:p>
    <w:p>
      <w:pPr>
        <w:spacing w:after="0" w:before="0"/>
      </w:pPr>
      <w:r>
        <w:rPr>
          <w:b w:val="0"/>
          <w:i w:val="0"/>
          <w:sz w:val="22"/>
        </w:rPr>
        <w:t>(c) She had one previous caesarean</w:t>
      </w:r>
    </w:p>
    <w:p>
      <w:pPr>
        <w:spacing w:after="0" w:before="0"/>
      </w:pPr>
      <w:r>
        <w:rPr>
          <w:b w:val="0"/>
          <w:i w:val="0"/>
          <w:sz w:val="22"/>
        </w:rPr>
        <w:t>(d) Fetal presentation is cephalic</w:t>
      </w:r>
    </w:p>
    <w:p>
      <w:pPr>
        <w:spacing w:after="0" w:before="40"/>
      </w:pPr>
      <w:r>
        <w:rPr>
          <w:b/>
          <w:i w:val="0"/>
          <w:sz w:val="22"/>
        </w:rPr>
        <w:t>Answer: a</w:t>
      </w:r>
    </w:p>
    <w:p>
      <w:pPr>
        <w:spacing w:after="0" w:before="0"/>
      </w:pPr>
      <w:r>
        <w:rPr>
          <w:b w:val="0"/>
          <w:i w:val="0"/>
          <w:sz w:val="21"/>
        </w:rPr>
        <w:t>Solution: A trial of labour after caesarean is contraindicated with a classical (upper-segment vertical) uterine incision because of the high risk of uterine rupture. Low transverse incisions (b), one prior caesarean (c), and cephalic presentation (d) are favourable for TOLAC.</w:t>
      </w:r>
    </w:p>
    <w:p>
      <w:pPr>
        <w:spacing w:after="0" w:before="0"/>
      </w:pPr>
      <w:r>
        <w:rPr>
          <w:b w:val="0"/>
          <w:i w:val="0"/>
          <w:sz w:val="20"/>
        </w:rPr>
        <w:t>Positive Marks: 1</w:t>
      </w:r>
    </w:p>
    <w:p>
      <w:pPr>
        <w:spacing w:after="160" w:before="0"/>
      </w:pPr>
      <w:r>
        <w:rPr>
          <w:b w:val="0"/>
          <w:i w:val="0"/>
          <w:sz w:val="20"/>
        </w:rPr>
        <w:t>Negative Marks: 0.25</w:t>
      </w:r>
    </w:p>
    <w:p>
      <w:pPr>
        <w:spacing w:after="40" w:before="120"/>
      </w:pPr>
      <w:r>
        <w:rPr>
          <w:b w:val="0"/>
          <w:i w:val="0"/>
          <w:sz w:val="22"/>
        </w:rPr>
        <w:t>Question: A client has an irrational, persistent fear of snakes and avoids parks and nature trails because of it. Which disorder is most consistent?</w:t>
      </w:r>
    </w:p>
    <w:p>
      <w:pPr>
        <w:spacing w:after="0" w:before="0"/>
      </w:pPr>
      <w:r>
        <w:rPr>
          <w:b w:val="0"/>
          <w:i w:val="0"/>
          <w:sz w:val="22"/>
        </w:rPr>
        <w:t>(a) Specific phobia</w:t>
      </w:r>
    </w:p>
    <w:p>
      <w:pPr>
        <w:spacing w:after="0" w:before="0"/>
      </w:pPr>
      <w:r>
        <w:rPr>
          <w:b w:val="0"/>
          <w:i w:val="0"/>
          <w:sz w:val="22"/>
        </w:rPr>
        <w:t>(b) Agoraphobia</w:t>
      </w:r>
    </w:p>
    <w:p>
      <w:pPr>
        <w:spacing w:after="0" w:before="0"/>
      </w:pPr>
      <w:r>
        <w:rPr>
          <w:b w:val="0"/>
          <w:i w:val="0"/>
          <w:sz w:val="22"/>
        </w:rPr>
        <w:t>(c) Panic disorder</w:t>
      </w:r>
    </w:p>
    <w:p>
      <w:pPr>
        <w:spacing w:after="0" w:before="0"/>
      </w:pPr>
      <w:r>
        <w:rPr>
          <w:b w:val="0"/>
          <w:i w:val="0"/>
          <w:sz w:val="22"/>
        </w:rPr>
        <w:t>(d) Obsessive-compulsive disorder</w:t>
      </w:r>
    </w:p>
    <w:p>
      <w:pPr>
        <w:spacing w:after="0" w:before="40"/>
      </w:pPr>
      <w:r>
        <w:rPr>
          <w:b/>
          <w:i w:val="0"/>
          <w:sz w:val="22"/>
        </w:rPr>
        <w:t>Answer: a</w:t>
      </w:r>
    </w:p>
    <w:p>
      <w:pPr>
        <w:spacing w:after="0" w:before="0"/>
      </w:pPr>
      <w:r>
        <w:rPr>
          <w:b w:val="0"/>
          <w:i w:val="0"/>
          <w:sz w:val="21"/>
        </w:rPr>
        <w:t>Solution: A specific phobia is a marked, persistent fear of a specific object or situation (snakes) with avoidance. Agoraphobia (b) is fear of open/escape situations, and OCD (d) involves obsessions and compulsions.</w:t>
      </w:r>
    </w:p>
    <w:p>
      <w:pPr>
        <w:spacing w:after="0" w:before="0"/>
      </w:pPr>
      <w:r>
        <w:rPr>
          <w:b w:val="0"/>
          <w:i w:val="0"/>
          <w:sz w:val="20"/>
        </w:rPr>
        <w:t>Positive Marks: 1</w:t>
      </w:r>
    </w:p>
    <w:p>
      <w:pPr>
        <w:spacing w:after="160" w:before="0"/>
      </w:pPr>
      <w:r>
        <w:rPr>
          <w:b w:val="0"/>
          <w:i w:val="0"/>
          <w:sz w:val="20"/>
        </w:rPr>
        <w:t>Negative Marks: 0.25</w:t>
      </w:r>
    </w:p>
    <w:p>
      <w:pPr>
        <w:spacing w:after="40" w:before="120"/>
      </w:pPr>
      <w:r>
        <w:rPr>
          <w:b w:val="0"/>
          <w:i w:val="0"/>
          <w:sz w:val="22"/>
        </w:rPr>
        <w:t>Question: A term newborn fails to pass meconium in the first 48 hours and develops abdominal distension and bilious vomiting. Which condition should the nurse suspect?</w:t>
      </w:r>
    </w:p>
    <w:p>
      <w:pPr>
        <w:spacing w:after="0" w:before="0"/>
      </w:pPr>
      <w:r>
        <w:rPr>
          <w:b w:val="0"/>
          <w:i w:val="0"/>
          <w:sz w:val="22"/>
        </w:rPr>
        <w:t>(a) Hirschsprung disease</w:t>
      </w:r>
    </w:p>
    <w:p>
      <w:pPr>
        <w:spacing w:after="0" w:before="0"/>
      </w:pPr>
      <w:r>
        <w:rPr>
          <w:b w:val="0"/>
          <w:i w:val="0"/>
          <w:sz w:val="22"/>
        </w:rPr>
        <w:t>(b) Pyloric stenosis</w:t>
      </w:r>
    </w:p>
    <w:p>
      <w:pPr>
        <w:spacing w:after="0" w:before="0"/>
      </w:pPr>
      <w:r>
        <w:rPr>
          <w:b w:val="0"/>
          <w:i w:val="0"/>
          <w:sz w:val="22"/>
        </w:rPr>
        <w:t>(c) Necrotizing enterocolitis</w:t>
      </w:r>
    </w:p>
    <w:p>
      <w:pPr>
        <w:spacing w:after="0" w:before="0"/>
      </w:pPr>
      <w:r>
        <w:rPr>
          <w:b w:val="0"/>
          <w:i w:val="0"/>
          <w:sz w:val="22"/>
        </w:rPr>
        <w:t>(d) Diaphragmatic hernia</w:t>
      </w:r>
    </w:p>
    <w:p>
      <w:pPr>
        <w:spacing w:after="0" w:before="40"/>
      </w:pPr>
      <w:r>
        <w:rPr>
          <w:b/>
          <w:i w:val="0"/>
          <w:sz w:val="22"/>
        </w:rPr>
        <w:t>Answer: a</w:t>
      </w:r>
    </w:p>
    <w:p>
      <w:pPr>
        <w:spacing w:after="0" w:before="0"/>
      </w:pPr>
      <w:r>
        <w:rPr>
          <w:b w:val="0"/>
          <w:i w:val="0"/>
          <w:sz w:val="21"/>
        </w:rPr>
        <w:t>Solution: Hirschsprung disease—congenital aganglionosis—presents with failure to pass meconium, abdominal distension, and bilious vomiting in the newborn. Pyloric stenosis (b) appears later with projectile vomiting, and NEC (c) is mainly in preterm infants.</w:t>
      </w:r>
    </w:p>
    <w:p>
      <w:pPr>
        <w:spacing w:after="0" w:before="0"/>
      </w:pPr>
      <w:r>
        <w:rPr>
          <w:b w:val="0"/>
          <w:i w:val="0"/>
          <w:sz w:val="20"/>
        </w:rPr>
        <w:t>Positive Marks: 1</w:t>
      </w:r>
    </w:p>
    <w:p>
      <w:pPr>
        <w:spacing w:after="160" w:before="0"/>
      </w:pPr>
      <w:r>
        <w:rPr>
          <w:b w:val="0"/>
          <w:i w:val="0"/>
          <w:sz w:val="20"/>
        </w:rPr>
        <w:t>Negative Marks: 0.25</w:t>
      </w:r>
    </w:p>
    <w:p>
      <w:pPr>
        <w:spacing w:after="40" w:before="120"/>
      </w:pPr>
      <w:r>
        <w:rPr>
          <w:b w:val="0"/>
          <w:i w:val="0"/>
          <w:sz w:val="22"/>
        </w:rPr>
        <w:t>Question: The ratio of persons aged 0-14 and 65+ to persons aged 15-64 in a population is the:</w:t>
      </w:r>
    </w:p>
    <w:p>
      <w:pPr>
        <w:spacing w:after="0" w:before="0"/>
      </w:pPr>
      <w:r>
        <w:rPr>
          <w:b w:val="0"/>
          <w:i w:val="0"/>
          <w:sz w:val="22"/>
        </w:rPr>
        <w:t>(a) Dependency ratio</w:t>
      </w:r>
    </w:p>
    <w:p>
      <w:pPr>
        <w:spacing w:after="0" w:before="0"/>
      </w:pPr>
      <w:r>
        <w:rPr>
          <w:b w:val="0"/>
          <w:i w:val="0"/>
          <w:sz w:val="22"/>
        </w:rPr>
        <w:t>(b) Sex ratio</w:t>
      </w:r>
    </w:p>
    <w:p>
      <w:pPr>
        <w:spacing w:after="0" w:before="0"/>
      </w:pPr>
      <w:r>
        <w:rPr>
          <w:b w:val="0"/>
          <w:i w:val="0"/>
          <w:sz w:val="22"/>
        </w:rPr>
        <w:t>(c) Crude birth rate</w:t>
      </w:r>
    </w:p>
    <w:p>
      <w:pPr>
        <w:spacing w:after="0" w:before="0"/>
      </w:pPr>
      <w:r>
        <w:rPr>
          <w:b w:val="0"/>
          <w:i w:val="0"/>
          <w:sz w:val="22"/>
        </w:rPr>
        <w:t>(d) Case fatality rate</w:t>
      </w:r>
    </w:p>
    <w:p>
      <w:pPr>
        <w:spacing w:after="0" w:before="40"/>
      </w:pPr>
      <w:r>
        <w:rPr>
          <w:b/>
          <w:i w:val="0"/>
          <w:sz w:val="22"/>
        </w:rPr>
        <w:t>Answer: a</w:t>
      </w:r>
    </w:p>
    <w:p>
      <w:pPr>
        <w:spacing w:after="0" w:before="0"/>
      </w:pPr>
      <w:r>
        <w:rPr>
          <w:b w:val="0"/>
          <w:i w:val="0"/>
          <w:sz w:val="21"/>
        </w:rPr>
        <w:t>Solution: The dependency ratio is the number of dependents (children under 15 and elderly 65+) per 100 persons of working age (15-64). Sex ratio (b) is males per 1000 females, and the others are different indicators.</w:t>
      </w:r>
    </w:p>
    <w:p>
      <w:pPr>
        <w:spacing w:after="0" w:before="0"/>
      </w:pPr>
      <w:r>
        <w:rPr>
          <w:b w:val="0"/>
          <w:i w:val="0"/>
          <w:sz w:val="20"/>
        </w:rPr>
        <w:t>Positive Marks: 1</w:t>
      </w:r>
    </w:p>
    <w:p>
      <w:pPr>
        <w:spacing w:after="160" w:before="0"/>
      </w:pPr>
      <w:r>
        <w:rPr>
          <w:b w:val="0"/>
          <w:i w:val="0"/>
          <w:sz w:val="20"/>
        </w:rPr>
        <w:t>Negative Marks: 0.25</w:t>
      </w:r>
    </w:p>
    <w:p>
      <w:pPr>
        <w:spacing w:after="40" w:before="120"/>
      </w:pPr>
      <w:r>
        <w:rPr>
          <w:b w:val="0"/>
          <w:i w:val="0"/>
          <w:sz w:val="22"/>
        </w:rPr>
        <w:t>Question: Which disease is an example of a zoonosis?</w:t>
      </w:r>
    </w:p>
    <w:p>
      <w:pPr>
        <w:spacing w:after="0" w:before="0"/>
      </w:pPr>
      <w:r>
        <w:rPr>
          <w:b w:val="0"/>
          <w:i w:val="0"/>
          <w:sz w:val="22"/>
        </w:rPr>
        <w:t>(a) Rabies</w:t>
      </w:r>
    </w:p>
    <w:p>
      <w:pPr>
        <w:spacing w:after="0" w:before="0"/>
      </w:pPr>
      <w:r>
        <w:rPr>
          <w:b w:val="0"/>
          <w:i w:val="0"/>
          <w:sz w:val="22"/>
        </w:rPr>
        <w:t>(b) Tuberculosis</w:t>
      </w:r>
    </w:p>
    <w:p>
      <w:pPr>
        <w:spacing w:after="0" w:before="0"/>
      </w:pPr>
      <w:r>
        <w:rPr>
          <w:b w:val="0"/>
          <w:i w:val="0"/>
          <w:sz w:val="22"/>
        </w:rPr>
        <w:t>(c) Cholera</w:t>
      </w:r>
    </w:p>
    <w:p>
      <w:pPr>
        <w:spacing w:after="0" w:before="0"/>
      </w:pPr>
      <w:r>
        <w:rPr>
          <w:b w:val="0"/>
          <w:i w:val="0"/>
          <w:sz w:val="22"/>
        </w:rPr>
        <w:t>(d) Measles</w:t>
      </w:r>
    </w:p>
    <w:p>
      <w:pPr>
        <w:spacing w:after="0" w:before="40"/>
      </w:pPr>
      <w:r>
        <w:rPr>
          <w:b/>
          <w:i w:val="0"/>
          <w:sz w:val="22"/>
        </w:rPr>
        <w:t>Answer: a</w:t>
      </w:r>
    </w:p>
    <w:p>
      <w:pPr>
        <w:spacing w:after="0" w:before="0"/>
      </w:pPr>
      <w:r>
        <w:rPr>
          <w:b w:val="0"/>
          <w:i w:val="0"/>
          <w:sz w:val="21"/>
        </w:rPr>
        <w:t>Solution: A zoonosis is a disease transmitted from animals to humans; rabies is transmitted by the bite of an infected animal. Tuberculosis (b), cholera (c), and measles (d) are transmitted person to person or via contaminated water.</w:t>
      </w:r>
    </w:p>
    <w:p>
      <w:pPr>
        <w:spacing w:after="0" w:before="0"/>
      </w:pPr>
      <w:r>
        <w:rPr>
          <w:b w:val="0"/>
          <w:i w:val="0"/>
          <w:sz w:val="20"/>
        </w:rPr>
        <w:t>Positive Marks: 1</w:t>
      </w:r>
    </w:p>
    <w:p>
      <w:pPr>
        <w:spacing w:after="160" w:before="0"/>
      </w:pPr>
      <w:r>
        <w:rPr>
          <w:b w:val="0"/>
          <w:i w:val="0"/>
          <w:sz w:val="20"/>
        </w:rPr>
        <w:t>Negative Marks: 0.25</w:t>
      </w:r>
    </w:p>
    <w:p>
      <w:pPr>
        <w:spacing w:after="40" w:before="120"/>
      </w:pPr>
      <w:r>
        <w:rPr>
          <w:b w:val="0"/>
          <w:i w:val="0"/>
          <w:sz w:val="22"/>
        </w:rPr>
        <w:t>Question: The division of society into layers or ranks based on wealth, power, and prestige is called:</w:t>
      </w:r>
    </w:p>
    <w:p>
      <w:pPr>
        <w:spacing w:after="0" w:before="0"/>
      </w:pPr>
      <w:r>
        <w:rPr>
          <w:b w:val="0"/>
          <w:i w:val="0"/>
          <w:sz w:val="22"/>
        </w:rPr>
        <w:t>(a) Social stratification</w:t>
      </w:r>
    </w:p>
    <w:p>
      <w:pPr>
        <w:spacing w:after="0" w:before="0"/>
      </w:pPr>
      <w:r>
        <w:rPr>
          <w:b w:val="0"/>
          <w:i w:val="0"/>
          <w:sz w:val="22"/>
        </w:rPr>
        <w:t>(b) Socialization</w:t>
      </w:r>
    </w:p>
    <w:p>
      <w:pPr>
        <w:spacing w:after="0" w:before="0"/>
      </w:pPr>
      <w:r>
        <w:rPr>
          <w:b w:val="0"/>
          <w:i w:val="0"/>
          <w:sz w:val="22"/>
        </w:rPr>
        <w:t>(c) Social mobility</w:t>
      </w:r>
    </w:p>
    <w:p>
      <w:pPr>
        <w:spacing w:after="0" w:before="0"/>
      </w:pPr>
      <w:r>
        <w:rPr>
          <w:b w:val="0"/>
          <w:i w:val="0"/>
          <w:sz w:val="22"/>
        </w:rPr>
        <w:t>(d) Social control</w:t>
      </w:r>
    </w:p>
    <w:p>
      <w:pPr>
        <w:spacing w:after="0" w:before="40"/>
      </w:pPr>
      <w:r>
        <w:rPr>
          <w:b/>
          <w:i w:val="0"/>
          <w:sz w:val="22"/>
        </w:rPr>
        <w:t>Answer: a</w:t>
      </w:r>
    </w:p>
    <w:p>
      <w:pPr>
        <w:spacing w:after="0" w:before="0"/>
      </w:pPr>
      <w:r>
        <w:rPr>
          <w:b w:val="0"/>
          <w:i w:val="0"/>
          <w:sz w:val="21"/>
        </w:rPr>
        <w:t>Solution: Social stratification is the hierarchical ranking of groups in society by wealth, power, and prestige. Socialization (b) is learning social norms, mobility (c) is movement between strata, and social control (d) is enforcing norms.</w:t>
      </w:r>
    </w:p>
    <w:p>
      <w:pPr>
        <w:spacing w:after="0" w:before="0"/>
      </w:pPr>
      <w:r>
        <w:rPr>
          <w:b w:val="0"/>
          <w:i w:val="0"/>
          <w:sz w:val="20"/>
        </w:rPr>
        <w:t>Positive Marks: 1</w:t>
      </w:r>
    </w:p>
    <w:p>
      <w:pPr>
        <w:spacing w:after="160" w:before="0"/>
      </w:pPr>
      <w:r>
        <w:rPr>
          <w:b w:val="0"/>
          <w:i w:val="0"/>
          <w:sz w:val="20"/>
        </w:rPr>
        <w:t>Negative Marks: 0.25</w:t>
      </w:r>
    </w:p>
    <w:p>
      <w:pPr>
        <w:spacing w:after="40" w:before="120"/>
      </w:pPr>
      <w:r>
        <w:rPr>
          <w:b w:val="0"/>
          <w:i w:val="0"/>
          <w:sz w:val="22"/>
        </w:rPr>
        <w:t>Question: Which immunoglobulin is the most abundant in human serum and provides long-term immunity?</w:t>
      </w:r>
    </w:p>
    <w:p>
      <w:pPr>
        <w:spacing w:after="0" w:before="0"/>
      </w:pPr>
      <w:r>
        <w:rPr>
          <w:b w:val="0"/>
          <w:i w:val="0"/>
          <w:sz w:val="22"/>
        </w:rPr>
        <w:t>(a) IgG</w:t>
      </w:r>
    </w:p>
    <w:p>
      <w:pPr>
        <w:spacing w:after="0" w:before="0"/>
      </w:pPr>
      <w:r>
        <w:rPr>
          <w:b w:val="0"/>
          <w:i w:val="0"/>
          <w:sz w:val="22"/>
        </w:rPr>
        <w:t>(b) IgA</w:t>
      </w:r>
    </w:p>
    <w:p>
      <w:pPr>
        <w:spacing w:after="0" w:before="0"/>
      </w:pPr>
      <w:r>
        <w:rPr>
          <w:b w:val="0"/>
          <w:i w:val="0"/>
          <w:sz w:val="22"/>
        </w:rPr>
        <w:t>(c) IgM</w:t>
      </w:r>
    </w:p>
    <w:p>
      <w:pPr>
        <w:spacing w:after="0" w:before="0"/>
      </w:pPr>
      <w:r>
        <w:rPr>
          <w:b w:val="0"/>
          <w:i w:val="0"/>
          <w:sz w:val="22"/>
        </w:rPr>
        <w:t>(d) IgE</w:t>
      </w:r>
    </w:p>
    <w:p>
      <w:pPr>
        <w:spacing w:after="0" w:before="40"/>
      </w:pPr>
      <w:r>
        <w:rPr>
          <w:b/>
          <w:i w:val="0"/>
          <w:sz w:val="22"/>
        </w:rPr>
        <w:t>Answer: a</w:t>
      </w:r>
    </w:p>
    <w:p>
      <w:pPr>
        <w:spacing w:after="0" w:before="0"/>
      </w:pPr>
      <w:r>
        <w:rPr>
          <w:b w:val="0"/>
          <w:i w:val="0"/>
          <w:sz w:val="21"/>
        </w:rPr>
        <w:t>Solution: IgG is the most abundant immunoglobulin, providing long-term immunity, crossing the placenta to protect the newborn. IgA (b) is in secretions, IgM (c) is the early-response antibody, and IgE (d) mediates allergy.</w:t>
      </w:r>
    </w:p>
    <w:p>
      <w:pPr>
        <w:spacing w:after="0" w:before="0"/>
      </w:pPr>
      <w:r>
        <w:rPr>
          <w:b w:val="0"/>
          <w:i w:val="0"/>
          <w:sz w:val="20"/>
        </w:rPr>
        <w:t>Positive Marks: 1</w:t>
      </w:r>
    </w:p>
    <w:p>
      <w:pPr>
        <w:spacing w:after="160" w:before="0"/>
      </w:pPr>
      <w:r>
        <w:rPr>
          <w:b w:val="0"/>
          <w:i w:val="0"/>
          <w:sz w:val="20"/>
        </w:rPr>
        <w:t>Negative Marks: 0.25</w:t>
      </w:r>
    </w:p>
    <w:p>
      <w:pPr>
        <w:spacing w:after="40" w:before="120"/>
      </w:pPr>
      <w:r>
        <w:rPr>
          <w:b w:val="0"/>
          <w:i w:val="0"/>
          <w:sz w:val="22"/>
        </w:rPr>
        <w:t>Question: The difference between the effective dose and the toxic dose of a drug is called its:</w:t>
      </w:r>
    </w:p>
    <w:p>
      <w:pPr>
        <w:spacing w:after="0" w:before="0"/>
      </w:pPr>
      <w:r>
        <w:rPr>
          <w:b w:val="0"/>
          <w:i w:val="0"/>
          <w:sz w:val="22"/>
        </w:rPr>
        <w:t>(a) Therapeutic index</w:t>
      </w:r>
    </w:p>
    <w:p>
      <w:pPr>
        <w:spacing w:after="0" w:before="0"/>
      </w:pPr>
      <w:r>
        <w:rPr>
          <w:b w:val="0"/>
          <w:i w:val="0"/>
          <w:sz w:val="22"/>
        </w:rPr>
        <w:t>(b) Half-life</w:t>
      </w:r>
    </w:p>
    <w:p>
      <w:pPr>
        <w:spacing w:after="0" w:before="0"/>
      </w:pPr>
      <w:r>
        <w:rPr>
          <w:b w:val="0"/>
          <w:i w:val="0"/>
          <w:sz w:val="22"/>
        </w:rPr>
        <w:t>(c) Bioavailability</w:t>
      </w:r>
    </w:p>
    <w:p>
      <w:pPr>
        <w:spacing w:after="0" w:before="0"/>
      </w:pPr>
      <w:r>
        <w:rPr>
          <w:b w:val="0"/>
          <w:i w:val="0"/>
          <w:sz w:val="22"/>
        </w:rPr>
        <w:t>(d) Potency</w:t>
      </w:r>
    </w:p>
    <w:p>
      <w:pPr>
        <w:spacing w:after="0" w:before="40"/>
      </w:pPr>
      <w:r>
        <w:rPr>
          <w:b/>
          <w:i w:val="0"/>
          <w:sz w:val="22"/>
        </w:rPr>
        <w:t>Answer: a</w:t>
      </w:r>
    </w:p>
    <w:p>
      <w:pPr>
        <w:spacing w:after="0" w:before="0"/>
      </w:pPr>
      <w:r>
        <w:rPr>
          <w:b w:val="0"/>
          <w:i w:val="0"/>
          <w:sz w:val="21"/>
        </w:rPr>
        <w:t>Solution: The therapeutic index is the ratio of the toxic dose to the effective dose—a wide margin means a safer drug. Half-life (b) is the time for the drug level to halve, bioavailability (c) is the fraction absorbed, and potency (d) is the dose needed for effect.</w:t>
      </w:r>
    </w:p>
    <w:p>
      <w:pPr>
        <w:spacing w:after="0" w:before="0"/>
      </w:pPr>
      <w:r>
        <w:rPr>
          <w:b w:val="0"/>
          <w:i w:val="0"/>
          <w:sz w:val="20"/>
        </w:rPr>
        <w:t>Positive Marks: 1</w:t>
      </w:r>
    </w:p>
    <w:p>
      <w:pPr>
        <w:spacing w:after="160" w:before="0"/>
      </w:pPr>
      <w:r>
        <w:rPr>
          <w:b w:val="0"/>
          <w:i w:val="0"/>
          <w:sz w:val="20"/>
        </w:rPr>
        <w:t>Negative Marks: 0.25</w:t>
      </w:r>
    </w:p>
    <w:p>
      <w:pPr>
        <w:spacing w:after="40" w:before="120"/>
      </w:pPr>
      <w:r>
        <w:rPr>
          <w:b w:val="0"/>
          <w:i w:val="0"/>
          <w:sz w:val="22"/>
        </w:rPr>
        <w:t>Question: The reversible change of one adult cell type to another, such as the change of bronchial epithelium to squamous epithelium in smokers, is called:</w:t>
      </w:r>
    </w:p>
    <w:p>
      <w:pPr>
        <w:spacing w:after="0" w:before="0"/>
      </w:pPr>
      <w:r>
        <w:rPr>
          <w:b w:val="0"/>
          <w:i w:val="0"/>
          <w:sz w:val="22"/>
        </w:rPr>
        <w:t>(a) Metaplasia</w:t>
      </w:r>
    </w:p>
    <w:p>
      <w:pPr>
        <w:spacing w:after="0" w:before="0"/>
      </w:pPr>
      <w:r>
        <w:rPr>
          <w:b w:val="0"/>
          <w:i w:val="0"/>
          <w:sz w:val="22"/>
        </w:rPr>
        <w:t>(b) Dysplasia</w:t>
      </w:r>
    </w:p>
    <w:p>
      <w:pPr>
        <w:spacing w:after="0" w:before="0"/>
      </w:pPr>
      <w:r>
        <w:rPr>
          <w:b w:val="0"/>
          <w:i w:val="0"/>
          <w:sz w:val="22"/>
        </w:rPr>
        <w:t>(c) Atrophy</w:t>
      </w:r>
    </w:p>
    <w:p>
      <w:pPr>
        <w:spacing w:after="0" w:before="0"/>
      </w:pPr>
      <w:r>
        <w:rPr>
          <w:b w:val="0"/>
          <w:i w:val="0"/>
          <w:sz w:val="22"/>
        </w:rPr>
        <w:t>(d) Hypertrophy</w:t>
      </w:r>
    </w:p>
    <w:p>
      <w:pPr>
        <w:spacing w:after="0" w:before="40"/>
      </w:pPr>
      <w:r>
        <w:rPr>
          <w:b/>
          <w:i w:val="0"/>
          <w:sz w:val="22"/>
        </w:rPr>
        <w:t>Answer: a</w:t>
      </w:r>
    </w:p>
    <w:p>
      <w:pPr>
        <w:spacing w:after="0" w:before="0"/>
      </w:pPr>
      <w:r>
        <w:rPr>
          <w:b w:val="0"/>
          <w:i w:val="0"/>
          <w:sz w:val="21"/>
        </w:rPr>
        <w:t>Solution: Metaplasia is a reversible replacement of one mature cell type by another in response to stress, such as smoking-induced squamous metaplasia of the bronchi. Dysplasia (b) is disordered growth, atrophy (c) is shrinkage, and hypertrophy (d) is enlargement.</w:t>
      </w:r>
    </w:p>
    <w:p>
      <w:pPr>
        <w:spacing w:after="0" w:before="0"/>
      </w:pPr>
      <w:r>
        <w:rPr>
          <w:b w:val="0"/>
          <w:i w:val="0"/>
          <w:sz w:val="20"/>
        </w:rPr>
        <w:t>Positive Marks: 1</w:t>
      </w:r>
    </w:p>
    <w:p>
      <w:pPr>
        <w:spacing w:after="160" w:before="0"/>
      </w:pPr>
      <w:r>
        <w:rPr>
          <w:b w:val="0"/>
          <w:i w:val="0"/>
          <w:sz w:val="20"/>
        </w:rPr>
        <w:t>Negative Marks: 0.25</w:t>
      </w:r>
    </w:p>
    <w:p>
      <w:pPr>
        <w:spacing w:after="40" w:before="120"/>
      </w:pPr>
      <w:r>
        <w:rPr>
          <w:b w:val="0"/>
          <w:i w:val="0"/>
          <w:sz w:val="22"/>
        </w:rPr>
        <w:t>Question: Which pair of chromosomes determines the sex of a human?</w:t>
      </w:r>
    </w:p>
    <w:p>
      <w:pPr>
        <w:spacing w:after="0" w:before="0"/>
      </w:pPr>
      <w:r>
        <w:rPr>
          <w:b w:val="0"/>
          <w:i w:val="0"/>
          <w:sz w:val="22"/>
        </w:rPr>
        <w:t>(a) The X and Y chromosomes</w:t>
      </w:r>
    </w:p>
    <w:p>
      <w:pPr>
        <w:spacing w:after="0" w:before="0"/>
      </w:pPr>
      <w:r>
        <w:rPr>
          <w:b w:val="0"/>
          <w:i w:val="0"/>
          <w:sz w:val="22"/>
        </w:rPr>
        <w:t>(b) Chromosome pair 21</w:t>
      </w:r>
    </w:p>
    <w:p>
      <w:pPr>
        <w:spacing w:after="0" w:before="0"/>
      </w:pPr>
      <w:r>
        <w:rPr>
          <w:b w:val="0"/>
          <w:i w:val="0"/>
          <w:sz w:val="22"/>
        </w:rPr>
        <w:t>(c) Chromosome pair 13</w:t>
      </w:r>
    </w:p>
    <w:p>
      <w:pPr>
        <w:spacing w:after="0" w:before="0"/>
      </w:pPr>
      <w:r>
        <w:rPr>
          <w:b w:val="0"/>
          <w:i w:val="0"/>
          <w:sz w:val="22"/>
        </w:rPr>
        <w:t>(d) Chromosome pair 1</w:t>
      </w:r>
    </w:p>
    <w:p>
      <w:pPr>
        <w:spacing w:after="0" w:before="40"/>
      </w:pPr>
      <w:r>
        <w:rPr>
          <w:b/>
          <w:i w:val="0"/>
          <w:sz w:val="22"/>
        </w:rPr>
        <w:t>Answer: a</w:t>
      </w:r>
    </w:p>
    <w:p>
      <w:pPr>
        <w:spacing w:after="0" w:before="0"/>
      </w:pPr>
      <w:r>
        <w:rPr>
          <w:b w:val="0"/>
          <w:i w:val="0"/>
          <w:sz w:val="21"/>
        </w:rPr>
        <w:t>Solution: Sex is determined by the X and Y chromosomes: females are XX and males are XY. The other chromosomes are autosomes and do not determine sex.</w:t>
      </w:r>
    </w:p>
    <w:p>
      <w:pPr>
        <w:spacing w:after="0" w:before="0"/>
      </w:pPr>
      <w:r>
        <w:rPr>
          <w:b w:val="0"/>
          <w:i w:val="0"/>
          <w:sz w:val="20"/>
        </w:rPr>
        <w:t>Positive Marks: 1</w:t>
      </w:r>
    </w:p>
    <w:p>
      <w:pPr>
        <w:spacing w:after="160" w:before="0"/>
      </w:pPr>
      <w:r>
        <w:rPr>
          <w:b w:val="0"/>
          <w:i w:val="0"/>
          <w:sz w:val="20"/>
        </w:rPr>
        <w:t>Negative Marks: 0.25</w:t>
      </w:r>
    </w:p>
    <w:sectPr w:rsidR="00FC693F" w:rsidRPr="0006063C" w:rsidSect="00034616">
      <w:pgSz w:w="12240" w:h="15840"/>
      <w:pgMar w:top="864" w:right="1008" w:bottom="864"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