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at 8 weeks gestation has scant vaginal bleeding, a closed cervix, and a viable pregnancy on ultrasound. Which type of abortion is this?</w:t>
      </w:r>
    </w:p>
    <w:p>
      <w:pPr>
        <w:spacing w:after="0" w:before="0"/>
      </w:pPr>
      <w:r>
        <w:rPr>
          <w:b w:val="0"/>
          <w:i w:val="0"/>
          <w:sz w:val="22"/>
        </w:rPr>
        <w:t>(a) Inevitable abortion</w:t>
      </w:r>
    </w:p>
    <w:p>
      <w:pPr>
        <w:spacing w:after="0" w:before="0"/>
      </w:pPr>
      <w:r>
        <w:rPr>
          <w:b w:val="0"/>
          <w:i w:val="0"/>
          <w:sz w:val="22"/>
        </w:rPr>
        <w:t>(b) Threatened abortion</w:t>
      </w:r>
    </w:p>
    <w:p>
      <w:pPr>
        <w:spacing w:after="0" w:before="0"/>
      </w:pPr>
      <w:r>
        <w:rPr>
          <w:b w:val="0"/>
          <w:i w:val="0"/>
          <w:sz w:val="22"/>
        </w:rPr>
        <w:t>(c) Missed abortion</w:t>
      </w:r>
    </w:p>
    <w:p>
      <w:pPr>
        <w:spacing w:after="0" w:before="0"/>
      </w:pPr>
      <w:r>
        <w:rPr>
          <w:b w:val="0"/>
          <w:i w:val="0"/>
          <w:sz w:val="22"/>
        </w:rPr>
        <w:t>(d) Septic abortion</w:t>
      </w:r>
    </w:p>
    <w:p>
      <w:pPr>
        <w:spacing w:after="0" w:before="40"/>
      </w:pPr>
      <w:r>
        <w:rPr>
          <w:b/>
          <w:i w:val="0"/>
          <w:sz w:val="22"/>
        </w:rPr>
        <w:t>Answer: b</w:t>
      </w:r>
    </w:p>
    <w:p>
      <w:pPr>
        <w:spacing w:after="0" w:before="0"/>
      </w:pPr>
      <w:r>
        <w:rPr>
          <w:b w:val="0"/>
          <w:i w:val="0"/>
          <w:sz w:val="21"/>
        </w:rPr>
        <w:t>Solution: A threatened abortion is vaginal bleeding in early pregnancy with a closed cervix and a viable fetus; pregnancy often continues with rest and observation. An inevitable abortion has an open cervix with progressive bleeding, a missed abortion is fetal demise with retention, and a septic abortion is accompanied by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Fetal heart tones can first be detected by Doppler ultrasound at approximately:</w:t>
      </w:r>
    </w:p>
    <w:p>
      <w:pPr>
        <w:spacing w:after="0" w:before="0"/>
      </w:pPr>
      <w:r>
        <w:rPr>
          <w:b w:val="0"/>
          <w:i w:val="0"/>
          <w:sz w:val="22"/>
        </w:rPr>
        <w:t>(a) 20 weeks of gestation</w:t>
      </w:r>
    </w:p>
    <w:p>
      <w:pPr>
        <w:spacing w:after="0" w:before="0"/>
      </w:pPr>
      <w:r>
        <w:rPr>
          <w:b w:val="0"/>
          <w:i w:val="0"/>
          <w:sz w:val="22"/>
        </w:rPr>
        <w:t>(b) 24 weeks of gestation</w:t>
      </w:r>
    </w:p>
    <w:p>
      <w:pPr>
        <w:spacing w:after="0" w:before="0"/>
      </w:pPr>
      <w:r>
        <w:rPr>
          <w:b w:val="0"/>
          <w:i w:val="0"/>
          <w:sz w:val="22"/>
        </w:rPr>
        <w:t>(c) 28 weeks of gestation</w:t>
      </w:r>
    </w:p>
    <w:p>
      <w:pPr>
        <w:spacing w:after="0" w:before="0"/>
      </w:pPr>
      <w:r>
        <w:rPr>
          <w:b w:val="0"/>
          <w:i w:val="0"/>
          <w:sz w:val="22"/>
        </w:rPr>
        <w:t>(d) 10-12 weeks of gestation</w:t>
      </w:r>
    </w:p>
    <w:p>
      <w:pPr>
        <w:spacing w:after="0" w:before="40"/>
      </w:pPr>
      <w:r>
        <w:rPr>
          <w:b/>
          <w:i w:val="0"/>
          <w:sz w:val="22"/>
        </w:rPr>
        <w:t>Answer: d</w:t>
      </w:r>
    </w:p>
    <w:p>
      <w:pPr>
        <w:spacing w:after="0" w:before="0"/>
      </w:pPr>
      <w:r>
        <w:rPr>
          <w:b w:val="0"/>
          <w:i w:val="0"/>
          <w:sz w:val="21"/>
        </w:rPr>
        <w:t>Solution: Fetal heart tones are audible with a Doppler device at 10-12 weeks and with a fetoscope at about 18-20 weeks. Early detection confirms pregnancy viability and is used in antenatal assessment.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common cause of secondary amenorrhea?</w:t>
      </w:r>
    </w:p>
    <w:p>
      <w:pPr>
        <w:spacing w:after="0" w:before="0"/>
      </w:pPr>
      <w:r>
        <w:rPr>
          <w:b w:val="0"/>
          <w:i w:val="0"/>
          <w:sz w:val="22"/>
        </w:rPr>
        <w:t>(a) Pregnancy</w:t>
      </w:r>
    </w:p>
    <w:p>
      <w:pPr>
        <w:spacing w:after="0" w:before="0"/>
      </w:pPr>
      <w:r>
        <w:rPr>
          <w:b w:val="0"/>
          <w:i w:val="0"/>
          <w:sz w:val="22"/>
        </w:rPr>
        <w:t>(b) Vaginitis</w:t>
      </w:r>
    </w:p>
    <w:p>
      <w:pPr>
        <w:spacing w:after="0" w:before="0"/>
      </w:pPr>
      <w:r>
        <w:rPr>
          <w:b w:val="0"/>
          <w:i w:val="0"/>
          <w:sz w:val="22"/>
        </w:rPr>
        <w:t>(c) Cervicitis</w:t>
      </w:r>
    </w:p>
    <w:p>
      <w:pPr>
        <w:spacing w:after="0" w:before="0"/>
      </w:pPr>
      <w:r>
        <w:rPr>
          <w:b w:val="0"/>
          <w:i w:val="0"/>
          <w:sz w:val="22"/>
        </w:rPr>
        <w:t>(d) Menopause reversal</w:t>
      </w:r>
    </w:p>
    <w:p>
      <w:pPr>
        <w:spacing w:after="0" w:before="40"/>
      </w:pPr>
      <w:r>
        <w:rPr>
          <w:b/>
          <w:i w:val="0"/>
          <w:sz w:val="22"/>
        </w:rPr>
        <w:t>Answer: a</w:t>
      </w:r>
    </w:p>
    <w:p>
      <w:pPr>
        <w:spacing w:after="0" w:before="0"/>
      </w:pPr>
      <w:r>
        <w:rPr>
          <w:b w:val="0"/>
          <w:i w:val="0"/>
          <w:sz w:val="21"/>
        </w:rPr>
        <w:t>Solution: Pregnancy is the most common cause of secondary amenorrhea (absence of menses for 3 months in a woman with previously regular cycles). Other causes include stress, weight loss, polycystic ovary syndrome, hyperprolactinaemia, and premature ovarian failure.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endometriosis is correct?</w:t>
      </w:r>
    </w:p>
    <w:p>
      <w:pPr>
        <w:spacing w:after="0" w:before="0"/>
      </w:pPr>
      <w:r>
        <w:rPr>
          <w:b w:val="0"/>
          <w:i w:val="0"/>
          <w:sz w:val="22"/>
        </w:rPr>
        <w:t>(a) Cervical infection</w:t>
      </w:r>
    </w:p>
    <w:p>
      <w:pPr>
        <w:spacing w:after="0" w:before="0"/>
      </w:pPr>
      <w:r>
        <w:rPr>
          <w:b w:val="0"/>
          <w:i w:val="0"/>
          <w:sz w:val="22"/>
        </w:rPr>
        <w:t>(b) Endometrial tissue outside the uterus causing cyclic pelvic pain</w:t>
      </w:r>
    </w:p>
    <w:p>
      <w:pPr>
        <w:spacing w:after="0" w:before="0"/>
      </w:pPr>
      <w:r>
        <w:rPr>
          <w:b w:val="0"/>
          <w:i w:val="0"/>
          <w:sz w:val="22"/>
        </w:rPr>
        <w:t>(c) Absence of menstruation</w:t>
      </w:r>
    </w:p>
    <w:p>
      <w:pPr>
        <w:spacing w:after="0" w:before="0"/>
      </w:pPr>
      <w:r>
        <w:rPr>
          <w:b w:val="0"/>
          <w:i w:val="0"/>
          <w:sz w:val="22"/>
        </w:rPr>
        <w:t>(d) Uterine prolapse</w:t>
      </w:r>
    </w:p>
    <w:p>
      <w:pPr>
        <w:spacing w:after="0" w:before="40"/>
      </w:pPr>
      <w:r>
        <w:rPr>
          <w:b/>
          <w:i w:val="0"/>
          <w:sz w:val="22"/>
        </w:rPr>
        <w:t>Answer: b</w:t>
      </w:r>
    </w:p>
    <w:p>
      <w:pPr>
        <w:spacing w:after="0" w:before="0"/>
      </w:pPr>
      <w:r>
        <w:rPr>
          <w:b w:val="0"/>
          <w:i w:val="0"/>
          <w:sz w:val="21"/>
        </w:rPr>
        <w:t>Solution: Endometriosis is the presence of endometrial-like tissue outside the uterus, causing cyclic pelvic pain, dysmenorrhea, dyspareunia, and infertility. Diagnosis is confirmed by laparoscopy, and management includes analgesics, hormones, and surgery.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factor predisposes a woman to vulvovaginal candidiasis?</w:t>
      </w:r>
    </w:p>
    <w:p>
      <w:pPr>
        <w:spacing w:after="0" w:before="0"/>
      </w:pPr>
      <w:r>
        <w:rPr>
          <w:b w:val="0"/>
          <w:i w:val="0"/>
          <w:sz w:val="22"/>
        </w:rPr>
        <w:t>(a) Menopause</w:t>
      </w:r>
    </w:p>
    <w:p>
      <w:pPr>
        <w:spacing w:after="0" w:before="0"/>
      </w:pPr>
      <w:r>
        <w:rPr>
          <w:b w:val="0"/>
          <w:i w:val="0"/>
          <w:sz w:val="22"/>
        </w:rPr>
        <w:t>(b) Regular exercise</w:t>
      </w:r>
    </w:p>
    <w:p>
      <w:pPr>
        <w:spacing w:after="0" w:before="0"/>
      </w:pPr>
      <w:r>
        <w:rPr>
          <w:b w:val="0"/>
          <w:i w:val="0"/>
          <w:sz w:val="22"/>
        </w:rPr>
        <w:t>(c) Recent broad-spectrum antibiotic use</w:t>
      </w:r>
    </w:p>
    <w:p>
      <w:pPr>
        <w:spacing w:after="0" w:before="0"/>
      </w:pPr>
      <w:r>
        <w:rPr>
          <w:b w:val="0"/>
          <w:i w:val="0"/>
          <w:sz w:val="22"/>
        </w:rPr>
        <w:t>(d) A high-protein diet</w:t>
      </w:r>
    </w:p>
    <w:p>
      <w:pPr>
        <w:spacing w:after="0" w:before="40"/>
      </w:pPr>
      <w:r>
        <w:rPr>
          <w:b/>
          <w:i w:val="0"/>
          <w:sz w:val="22"/>
        </w:rPr>
        <w:t>Answer: c</w:t>
      </w:r>
    </w:p>
    <w:p>
      <w:pPr>
        <w:spacing w:after="0" w:before="0"/>
      </w:pPr>
      <w:r>
        <w:rPr>
          <w:b w:val="0"/>
          <w:i w:val="0"/>
          <w:sz w:val="21"/>
        </w:rPr>
        <w:t>Solution: Broad-spectrum antibiotics destroy protective vaginal lactobacilli, allowing Candida to overgrow and cause vulvovaginal candidiasis with thick white curd-like discharge and intense itching. Diabetes, pregnancy, and immunosuppression are other risk factors.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presentation is typical of trichomoniasis?</w:t>
      </w:r>
    </w:p>
    <w:p>
      <w:pPr>
        <w:spacing w:after="0" w:before="0"/>
      </w:pPr>
      <w:r>
        <w:rPr>
          <w:b w:val="0"/>
          <w:i w:val="0"/>
          <w:sz w:val="22"/>
        </w:rPr>
        <w:t>(a) A frothy yellow-green discharge with itching</w:t>
      </w:r>
    </w:p>
    <w:p>
      <w:pPr>
        <w:spacing w:after="0" w:before="0"/>
      </w:pPr>
      <w:r>
        <w:rPr>
          <w:b w:val="0"/>
          <w:i w:val="0"/>
          <w:sz w:val="22"/>
        </w:rPr>
        <w:t>(b) A thick white curd-like discharge</w:t>
      </w:r>
    </w:p>
    <w:p>
      <w:pPr>
        <w:spacing w:after="0" w:before="0"/>
      </w:pPr>
      <w:r>
        <w:rPr>
          <w:b w:val="0"/>
          <w:i w:val="0"/>
          <w:sz w:val="22"/>
        </w:rPr>
        <w:t>(c) A thin grey fishy-smelling discharge</w:t>
      </w:r>
    </w:p>
    <w:p>
      <w:pPr>
        <w:spacing w:after="0" w:before="0"/>
      </w:pPr>
      <w:r>
        <w:rPr>
          <w:b w:val="0"/>
          <w:i w:val="0"/>
          <w:sz w:val="22"/>
        </w:rPr>
        <w:t>(d) Absence of any discharge</w:t>
      </w:r>
    </w:p>
    <w:p>
      <w:pPr>
        <w:spacing w:after="0" w:before="40"/>
      </w:pPr>
      <w:r>
        <w:rPr>
          <w:b/>
          <w:i w:val="0"/>
          <w:sz w:val="22"/>
        </w:rPr>
        <w:t>Answer: a</w:t>
      </w:r>
    </w:p>
    <w:p>
      <w:pPr>
        <w:spacing w:after="0" w:before="0"/>
      </w:pPr>
      <w:r>
        <w:rPr>
          <w:b w:val="0"/>
          <w:i w:val="0"/>
          <w:sz w:val="21"/>
        </w:rPr>
        <w:t>Solution: Trichomoniasis, caused by Trichomonas vaginalis, produces a profuse frothy yellow-green, malodorous discharge with vulvar itching and burning. A curd-like discharge suggests candidiasis and a fishy grey discharge suggests bacterial vaginosis; both partners are treated with metronidazole.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after a cervical biopsy during colposcopy?</w:t>
      </w:r>
    </w:p>
    <w:p>
      <w:pPr>
        <w:spacing w:after="0" w:before="0"/>
      </w:pPr>
      <w:r>
        <w:rPr>
          <w:b w:val="0"/>
          <w:i w:val="0"/>
          <w:sz w:val="22"/>
        </w:rPr>
        <w:t>(a) Resume tampon use immediately</w:t>
      </w:r>
    </w:p>
    <w:p>
      <w:pPr>
        <w:spacing w:after="0" w:before="0"/>
      </w:pPr>
      <w:r>
        <w:rPr>
          <w:b w:val="0"/>
          <w:i w:val="0"/>
          <w:sz w:val="22"/>
        </w:rPr>
        <w:t>(b) Avoid intercourse and tampons for about a week</w:t>
      </w:r>
    </w:p>
    <w:p>
      <w:pPr>
        <w:spacing w:after="0" w:before="0"/>
      </w:pPr>
      <w:r>
        <w:rPr>
          <w:b w:val="0"/>
          <w:i w:val="0"/>
          <w:sz w:val="22"/>
        </w:rPr>
        <w:t>(c) Douche twice daily</w:t>
      </w:r>
    </w:p>
    <w:p>
      <w:pPr>
        <w:spacing w:after="0" w:before="0"/>
      </w:pPr>
      <w:r>
        <w:rPr>
          <w:b w:val="0"/>
          <w:i w:val="0"/>
          <w:sz w:val="22"/>
        </w:rPr>
        <w:t>(d) Expect heavy bleeding for several days</w:t>
      </w:r>
    </w:p>
    <w:p>
      <w:pPr>
        <w:spacing w:after="0" w:before="40"/>
      </w:pPr>
      <w:r>
        <w:rPr>
          <w:b/>
          <w:i w:val="0"/>
          <w:sz w:val="22"/>
        </w:rPr>
        <w:t>Answer: b</w:t>
      </w:r>
    </w:p>
    <w:p>
      <w:pPr>
        <w:spacing w:after="0" w:before="0"/>
      </w:pPr>
      <w:r>
        <w:rPr>
          <w:b w:val="0"/>
          <w:i w:val="0"/>
          <w:sz w:val="21"/>
        </w:rPr>
        <w:t>Solution: After a cervical biopsy the cervix needs time to heal: the client should avoid intercourse, tampons, and douching for about one week and report heavy bleeding, fever, or foul discharge. A small amount of spotting and dark discharge is expected.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risk of long-term unopposed oestrogen therapy in a menopausal woman?</w:t>
      </w:r>
    </w:p>
    <w:p>
      <w:pPr>
        <w:spacing w:after="0" w:before="0"/>
      </w:pPr>
      <w:r>
        <w:rPr>
          <w:b w:val="0"/>
          <w:i w:val="0"/>
          <w:sz w:val="22"/>
        </w:rPr>
        <w:t>(a) Osteoporosis</w:t>
      </w:r>
    </w:p>
    <w:p>
      <w:pPr>
        <w:spacing w:after="0" w:before="0"/>
      </w:pPr>
      <w:r>
        <w:rPr>
          <w:b w:val="0"/>
          <w:i w:val="0"/>
          <w:sz w:val="22"/>
        </w:rPr>
        <w:t>(b) Vaginal dryness</w:t>
      </w:r>
    </w:p>
    <w:p>
      <w:pPr>
        <w:spacing w:after="0" w:before="0"/>
      </w:pPr>
      <w:r>
        <w:rPr>
          <w:b w:val="0"/>
          <w:i w:val="0"/>
          <w:sz w:val="22"/>
        </w:rPr>
        <w:t>(c) Hot flashes</w:t>
      </w:r>
    </w:p>
    <w:p>
      <w:pPr>
        <w:spacing w:after="0" w:before="0"/>
      </w:pPr>
      <w:r>
        <w:rPr>
          <w:b w:val="0"/>
          <w:i w:val="0"/>
          <w:sz w:val="22"/>
        </w:rPr>
        <w:t>(d) Endometrial cancer</w:t>
      </w:r>
    </w:p>
    <w:p>
      <w:pPr>
        <w:spacing w:after="0" w:before="40"/>
      </w:pPr>
      <w:r>
        <w:rPr>
          <w:b/>
          <w:i w:val="0"/>
          <w:sz w:val="22"/>
        </w:rPr>
        <w:t>Answer: d</w:t>
      </w:r>
    </w:p>
    <w:p>
      <w:pPr>
        <w:spacing w:after="0" w:before="0"/>
      </w:pPr>
      <w:r>
        <w:rPr>
          <w:b w:val="0"/>
          <w:i w:val="0"/>
          <w:sz w:val="21"/>
        </w:rPr>
        <w:t>Solution: Unopposed oestrogen stimulates endometrial proliferation and increases the risk of endometrial cancer, so a progestin is added for women with an intact uterus. Hormone replacement therapy relieves menopausal symptoms and protects bone but carries thromboembolic and breast-cancer risks.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is associated with hypomagnesaemia?</w:t>
      </w:r>
    </w:p>
    <w:p>
      <w:pPr>
        <w:spacing w:after="0" w:before="0"/>
      </w:pPr>
      <w:r>
        <w:rPr>
          <w:b w:val="0"/>
          <w:i w:val="0"/>
          <w:sz w:val="22"/>
        </w:rPr>
        <w:t>(a) Constipation</w:t>
      </w:r>
    </w:p>
    <w:p>
      <w:pPr>
        <w:spacing w:after="0" w:before="0"/>
      </w:pPr>
      <w:r>
        <w:rPr>
          <w:b w:val="0"/>
          <w:i w:val="0"/>
          <w:sz w:val="22"/>
        </w:rPr>
        <w:t>(b) Bradycardia</w:t>
      </w:r>
    </w:p>
    <w:p>
      <w:pPr>
        <w:spacing w:after="0" w:before="0"/>
      </w:pPr>
      <w:r>
        <w:rPr>
          <w:b w:val="0"/>
          <w:i w:val="0"/>
          <w:sz w:val="22"/>
        </w:rPr>
        <w:t>(c) Flaccid paralysis</w:t>
      </w:r>
    </w:p>
    <w:p>
      <w:pPr>
        <w:spacing w:after="0" w:before="0"/>
      </w:pPr>
      <w:r>
        <w:rPr>
          <w:b w:val="0"/>
          <w:i w:val="0"/>
          <w:sz w:val="22"/>
        </w:rPr>
        <w:t>(d) Tremors, muscle cramps, and a positive Chvostek sign</w:t>
      </w:r>
    </w:p>
    <w:p>
      <w:pPr>
        <w:spacing w:after="0" w:before="40"/>
      </w:pPr>
      <w:r>
        <w:rPr>
          <w:b/>
          <w:i w:val="0"/>
          <w:sz w:val="22"/>
        </w:rPr>
        <w:t>Answer: d</w:t>
      </w:r>
    </w:p>
    <w:p>
      <w:pPr>
        <w:spacing w:after="0" w:before="0"/>
      </w:pPr>
      <w:r>
        <w:rPr>
          <w:b w:val="0"/>
          <w:i w:val="0"/>
          <w:sz w:val="21"/>
        </w:rPr>
        <w:t>Solution: Hypomagnesaemia causes neuromuscular irritability with tremors, muscle cramps, tetany, and a positive Chvostek or Trousseau sign, plus cardiac arrhythmias. It commonly coexists with hypocalcaemia and hypokalaemia in alcoholism and malnutrition.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occupational exposure causes silicosis?</w:t>
      </w:r>
    </w:p>
    <w:p>
      <w:pPr>
        <w:spacing w:after="0" w:before="0"/>
      </w:pPr>
      <w:r>
        <w:rPr>
          <w:b w:val="0"/>
          <w:i w:val="0"/>
          <w:sz w:val="22"/>
        </w:rPr>
        <w:t>(a) Asbestos fibres</w:t>
      </w:r>
    </w:p>
    <w:p>
      <w:pPr>
        <w:spacing w:after="0" w:before="0"/>
      </w:pPr>
      <w:r>
        <w:rPr>
          <w:b w:val="0"/>
          <w:i w:val="0"/>
          <w:sz w:val="22"/>
        </w:rPr>
        <w:t>(b) Cotton dust</w:t>
      </w:r>
    </w:p>
    <w:p>
      <w:pPr>
        <w:spacing w:after="0" w:before="0"/>
      </w:pPr>
      <w:r>
        <w:rPr>
          <w:b w:val="0"/>
          <w:i w:val="0"/>
          <w:sz w:val="22"/>
        </w:rPr>
        <w:t>(c) Silica dust</w:t>
      </w:r>
    </w:p>
    <w:p>
      <w:pPr>
        <w:spacing w:after="0" w:before="0"/>
      </w:pPr>
      <w:r>
        <w:rPr>
          <w:b w:val="0"/>
          <w:i w:val="0"/>
          <w:sz w:val="22"/>
        </w:rPr>
        <w:t>(d) Coal dust</w:t>
      </w:r>
    </w:p>
    <w:p>
      <w:pPr>
        <w:spacing w:after="0" w:before="40"/>
      </w:pPr>
      <w:r>
        <w:rPr>
          <w:b/>
          <w:i w:val="0"/>
          <w:sz w:val="22"/>
        </w:rPr>
        <w:t>Answer: c</w:t>
      </w:r>
    </w:p>
    <w:p>
      <w:pPr>
        <w:spacing w:after="0" w:before="0"/>
      </w:pPr>
      <w:r>
        <w:rPr>
          <w:b w:val="0"/>
          <w:i w:val="0"/>
          <w:sz w:val="21"/>
        </w:rPr>
        <w:t>Solution: Silicosis is a pneumoconiosis from prolonged inhalation of silica dust in mining, stone cutting, and construction, causing progressive pulmonary fibrosis. Asbestos causes asbestosis, cotton dust causes byssinosis, and coal dust causes coal worker's pneumoconiosis (anthracosis).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priority in the first days after a heart transplant?</w:t>
      </w:r>
    </w:p>
    <w:p>
      <w:pPr>
        <w:spacing w:after="0" w:before="0"/>
      </w:pPr>
      <w:r>
        <w:rPr>
          <w:b w:val="0"/>
          <w:i w:val="0"/>
          <w:sz w:val="22"/>
        </w:rPr>
        <w:t>(a) Encourage heavy lifting</w:t>
      </w:r>
    </w:p>
    <w:p>
      <w:pPr>
        <w:spacing w:after="0" w:before="0"/>
      </w:pPr>
      <w:r>
        <w:rPr>
          <w:b w:val="0"/>
          <w:i w:val="0"/>
          <w:sz w:val="22"/>
        </w:rPr>
        <w:t>(b) Stop immunosuppressants</w:t>
      </w:r>
    </w:p>
    <w:p>
      <w:pPr>
        <w:spacing w:after="0" w:before="0"/>
      </w:pPr>
      <w:r>
        <w:rPr>
          <w:b w:val="0"/>
          <w:i w:val="0"/>
          <w:sz w:val="22"/>
        </w:rPr>
        <w:t>(c) Monitor closely for rejection and infection</w:t>
      </w:r>
    </w:p>
    <w:p>
      <w:pPr>
        <w:spacing w:after="0" w:before="0"/>
      </w:pPr>
      <w:r>
        <w:rPr>
          <w:b w:val="0"/>
          <w:i w:val="0"/>
          <w:sz w:val="22"/>
        </w:rPr>
        <w:t>(d) Restrict fluids completely</w:t>
      </w:r>
    </w:p>
    <w:p>
      <w:pPr>
        <w:spacing w:after="0" w:before="40"/>
      </w:pPr>
      <w:r>
        <w:rPr>
          <w:b/>
          <w:i w:val="0"/>
          <w:sz w:val="22"/>
        </w:rPr>
        <w:t>Answer: c</w:t>
      </w:r>
    </w:p>
    <w:p>
      <w:pPr>
        <w:spacing w:after="0" w:before="0"/>
      </w:pPr>
      <w:r>
        <w:rPr>
          <w:b w:val="0"/>
          <w:i w:val="0"/>
          <w:sz w:val="21"/>
        </w:rPr>
        <w:t>Solution: After cardiac transplantation the priority is monitoring for acute rejection (fever, arrhythmias, heart failure) and infection, which is heightened by immunosuppression. Immunosuppressants are never stopped, and the client is protected from infection with strict precautions.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complication is most important to monitor after a total parathyroidectomy?</w:t>
      </w:r>
    </w:p>
    <w:p>
      <w:pPr>
        <w:spacing w:after="0" w:before="0"/>
      </w:pPr>
      <w:r>
        <w:rPr>
          <w:b w:val="0"/>
          <w:i w:val="0"/>
          <w:sz w:val="22"/>
        </w:rPr>
        <w:t>(a) Hypercalcaemia</w:t>
      </w:r>
    </w:p>
    <w:p>
      <w:pPr>
        <w:spacing w:after="0" w:before="0"/>
      </w:pPr>
      <w:r>
        <w:rPr>
          <w:b w:val="0"/>
          <w:i w:val="0"/>
          <w:sz w:val="22"/>
        </w:rPr>
        <w:t>(b) Hyperkalaemia</w:t>
      </w:r>
    </w:p>
    <w:p>
      <w:pPr>
        <w:spacing w:after="0" w:before="0"/>
      </w:pPr>
      <w:r>
        <w:rPr>
          <w:b w:val="0"/>
          <w:i w:val="0"/>
          <w:sz w:val="22"/>
        </w:rPr>
        <w:t>(c) Hypoglycaemia</w:t>
      </w:r>
    </w:p>
    <w:p>
      <w:pPr>
        <w:spacing w:after="0" w:before="0"/>
      </w:pPr>
      <w:r>
        <w:rPr>
          <w:b w:val="0"/>
          <w:i w:val="0"/>
          <w:sz w:val="22"/>
        </w:rPr>
        <w:t>(d) Hypocalcaemia</w:t>
      </w:r>
    </w:p>
    <w:p>
      <w:pPr>
        <w:spacing w:after="0" w:before="40"/>
      </w:pPr>
      <w:r>
        <w:rPr>
          <w:b/>
          <w:i w:val="0"/>
          <w:sz w:val="22"/>
        </w:rPr>
        <w:t>Answer: d</w:t>
      </w:r>
    </w:p>
    <w:p>
      <w:pPr>
        <w:spacing w:after="0" w:before="0"/>
      </w:pPr>
      <w:r>
        <w:rPr>
          <w:b w:val="0"/>
          <w:i w:val="0"/>
          <w:sz w:val="21"/>
        </w:rPr>
        <w:t>Solution: Removal of all parathyroid glands causes acute hypocalcaemia with tingling, muscle cramps, and tetany, and may progress to laryngospasm and seizures. The nurse monitors for Chvostek and Trousseau signs and administers calcium as prescribed.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about wearing an isolation gown?</w:t>
      </w:r>
    </w:p>
    <w:p>
      <w:pPr>
        <w:spacing w:after="0" w:before="0"/>
      </w:pPr>
      <w:r>
        <w:rPr>
          <w:b w:val="0"/>
          <w:i w:val="0"/>
          <w:sz w:val="22"/>
        </w:rPr>
        <w:t>(a) Reuse the gown in several client rooms</w:t>
      </w:r>
    </w:p>
    <w:p>
      <w:pPr>
        <w:spacing w:after="0" w:before="0"/>
      </w:pPr>
      <w:r>
        <w:rPr>
          <w:b w:val="0"/>
          <w:i w:val="0"/>
          <w:sz w:val="22"/>
        </w:rPr>
        <w:t>(b) Put on the gown after entering the room</w:t>
      </w:r>
    </w:p>
    <w:p>
      <w:pPr>
        <w:spacing w:after="0" w:before="0"/>
      </w:pPr>
      <w:r>
        <w:rPr>
          <w:b w:val="0"/>
          <w:i w:val="0"/>
          <w:sz w:val="22"/>
        </w:rPr>
        <w:t>(c) Remove the gown before leaving the room</w:t>
      </w:r>
    </w:p>
    <w:p>
      <w:pPr>
        <w:spacing w:after="0" w:before="0"/>
      </w:pPr>
      <w:r>
        <w:rPr>
          <w:b w:val="0"/>
          <w:i w:val="0"/>
          <w:sz w:val="22"/>
        </w:rPr>
        <w:t>(d) Wear the same gown all day</w:t>
      </w:r>
    </w:p>
    <w:p>
      <w:pPr>
        <w:spacing w:after="0" w:before="40"/>
      </w:pPr>
      <w:r>
        <w:rPr>
          <w:b/>
          <w:i w:val="0"/>
          <w:sz w:val="22"/>
        </w:rPr>
        <w:t>Answer: c</w:t>
      </w:r>
    </w:p>
    <w:p>
      <w:pPr>
        <w:spacing w:after="0" w:before="0"/>
      </w:pPr>
      <w:r>
        <w:rPr>
          <w:b w:val="0"/>
          <w:i w:val="0"/>
          <w:sz w:val="21"/>
        </w:rPr>
        <w:t>Solution: The isolation gown is a barrier against contamination and must be removed before leaving the client's room to prevent spreading pathogens, then disposed of or laundered. It is donned before entering and never reused across rooms.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Reactive attachment disorder in a young child is most associated with:</w:t>
      </w:r>
    </w:p>
    <w:p>
      <w:pPr>
        <w:spacing w:after="0" w:before="0"/>
      </w:pPr>
      <w:r>
        <w:rPr>
          <w:b w:val="0"/>
          <w:i w:val="0"/>
          <w:sz w:val="22"/>
        </w:rPr>
        <w:t>(a) Academic pressure</w:t>
      </w:r>
    </w:p>
    <w:p>
      <w:pPr>
        <w:spacing w:after="0" w:before="0"/>
      </w:pPr>
      <w:r>
        <w:rPr>
          <w:b w:val="0"/>
          <w:i w:val="0"/>
          <w:sz w:val="22"/>
        </w:rPr>
        <w:t>(b) Severe early neglect and unstable caregiving</w:t>
      </w:r>
    </w:p>
    <w:p>
      <w:pPr>
        <w:spacing w:after="0" w:before="0"/>
      </w:pPr>
      <w:r>
        <w:rPr>
          <w:b w:val="0"/>
          <w:i w:val="0"/>
          <w:sz w:val="22"/>
        </w:rPr>
        <w:t>(c) Excessive parental praise</w:t>
      </w:r>
    </w:p>
    <w:p>
      <w:pPr>
        <w:spacing w:after="0" w:before="0"/>
      </w:pPr>
      <w:r>
        <w:rPr>
          <w:b w:val="0"/>
          <w:i w:val="0"/>
          <w:sz w:val="22"/>
        </w:rPr>
        <w:t>(d) Peer conflict</w:t>
      </w:r>
    </w:p>
    <w:p>
      <w:pPr>
        <w:spacing w:after="0" w:before="40"/>
      </w:pPr>
      <w:r>
        <w:rPr>
          <w:b/>
          <w:i w:val="0"/>
          <w:sz w:val="22"/>
        </w:rPr>
        <w:t>Answer: b</w:t>
      </w:r>
    </w:p>
    <w:p>
      <w:pPr>
        <w:spacing w:after="0" w:before="0"/>
      </w:pPr>
      <w:r>
        <w:rPr>
          <w:b w:val="0"/>
          <w:i w:val="0"/>
          <w:sz w:val="21"/>
        </w:rPr>
        <w:t>Solution: Reactive attachment disorder results from severe early neglect, deprivation, or repeated changes in caregivers, leaving the child unable to form healthy attachments and showing withdrawn, inhibited behaviour. It is managed with a stable nurturing environment and therapy.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assessment finding is expected in neonatal abstinence syndrome?</w:t>
      </w:r>
    </w:p>
    <w:p>
      <w:pPr>
        <w:spacing w:after="0" w:before="0"/>
      </w:pPr>
      <w:r>
        <w:rPr>
          <w:b w:val="0"/>
          <w:i w:val="0"/>
          <w:sz w:val="22"/>
        </w:rPr>
        <w:t>(a) Constipation</w:t>
      </w:r>
    </w:p>
    <w:p>
      <w:pPr>
        <w:spacing w:after="0" w:before="0"/>
      </w:pPr>
      <w:r>
        <w:rPr>
          <w:b w:val="0"/>
          <w:i w:val="0"/>
          <w:sz w:val="22"/>
        </w:rPr>
        <w:t>(b) Lethargy and floppiness</w:t>
      </w:r>
    </w:p>
    <w:p>
      <w:pPr>
        <w:spacing w:after="0" w:before="0"/>
      </w:pPr>
      <w:r>
        <w:rPr>
          <w:b w:val="0"/>
          <w:i w:val="0"/>
          <w:sz w:val="22"/>
        </w:rPr>
        <w:t>(c) Tremors, irritability, and a high-pitched cry</w:t>
      </w:r>
    </w:p>
    <w:p>
      <w:pPr>
        <w:spacing w:after="0" w:before="0"/>
      </w:pPr>
      <w:r>
        <w:rPr>
          <w:b w:val="0"/>
          <w:i w:val="0"/>
          <w:sz w:val="22"/>
        </w:rPr>
        <w:t>(d) Sleepiness with no crying</w:t>
      </w:r>
    </w:p>
    <w:p>
      <w:pPr>
        <w:spacing w:after="0" w:before="40"/>
      </w:pPr>
      <w:r>
        <w:rPr>
          <w:b/>
          <w:i w:val="0"/>
          <w:sz w:val="22"/>
        </w:rPr>
        <w:t>Answer: c</w:t>
      </w:r>
    </w:p>
    <w:p>
      <w:pPr>
        <w:spacing w:after="0" w:before="0"/>
      </w:pPr>
      <w:r>
        <w:rPr>
          <w:b w:val="0"/>
          <w:i w:val="0"/>
          <w:sz w:val="21"/>
        </w:rPr>
        <w:t>Solution: Neonatal abstinence syndrome, from in-utero opioid exposure, causes CNS hyperirritability: tremors, irritability, a high-pitched cry, poor feeding, vomiting, and loose stools. The infant is scored with the Finnegan scale and treated with supportive care and sometimes morphine.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ecological study compares disease rates between:</w:t>
      </w:r>
    </w:p>
    <w:p>
      <w:pPr>
        <w:spacing w:after="0" w:before="0"/>
      </w:pPr>
      <w:r>
        <w:rPr>
          <w:b w:val="0"/>
          <w:i w:val="0"/>
          <w:sz w:val="22"/>
        </w:rPr>
        <w:t>(a) Individual persons</w:t>
      </w:r>
    </w:p>
    <w:p>
      <w:pPr>
        <w:spacing w:after="0" w:before="0"/>
      </w:pPr>
      <w:r>
        <w:rPr>
          <w:b w:val="0"/>
          <w:i w:val="0"/>
          <w:sz w:val="22"/>
        </w:rPr>
        <w:t>(b) Families</w:t>
      </w:r>
    </w:p>
    <w:p>
      <w:pPr>
        <w:spacing w:after="0" w:before="0"/>
      </w:pPr>
      <w:r>
        <w:rPr>
          <w:b w:val="0"/>
          <w:i w:val="0"/>
          <w:sz w:val="22"/>
        </w:rPr>
        <w:t>(c) Groups or populations rather than individuals</w:t>
      </w:r>
    </w:p>
    <w:p>
      <w:pPr>
        <w:spacing w:after="0" w:before="0"/>
      </w:pPr>
      <w:r>
        <w:rPr>
          <w:b w:val="0"/>
          <w:i w:val="0"/>
          <w:sz w:val="22"/>
        </w:rPr>
        <w:t>(d) Laboratory samples</w:t>
      </w:r>
    </w:p>
    <w:p>
      <w:pPr>
        <w:spacing w:after="0" w:before="40"/>
      </w:pPr>
      <w:r>
        <w:rPr>
          <w:b/>
          <w:i w:val="0"/>
          <w:sz w:val="22"/>
        </w:rPr>
        <w:t>Answer: c</w:t>
      </w:r>
    </w:p>
    <w:p>
      <w:pPr>
        <w:spacing w:after="0" w:before="0"/>
      </w:pPr>
      <w:r>
        <w:rPr>
          <w:b w:val="0"/>
          <w:i w:val="0"/>
          <w:sz w:val="21"/>
        </w:rPr>
        <w:t>Solution: An ecological study uses group-level data, comparing disease rates between populations or regions rather than individuals. It is useful for generating hypotheses but is subject to the ecological fallacy, because associations at the group level may not hold for individuals.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an example of high-level disinfection?</w:t>
      </w:r>
    </w:p>
    <w:p>
      <w:pPr>
        <w:spacing w:after="0" w:before="0"/>
      </w:pPr>
      <w:r>
        <w:rPr>
          <w:b w:val="0"/>
          <w:i w:val="0"/>
          <w:sz w:val="22"/>
        </w:rPr>
        <w:t>(a) Soap and water</w:t>
      </w:r>
    </w:p>
    <w:p>
      <w:pPr>
        <w:spacing w:after="0" w:before="0"/>
      </w:pPr>
      <w:r>
        <w:rPr>
          <w:b w:val="0"/>
          <w:i w:val="0"/>
          <w:sz w:val="22"/>
        </w:rPr>
        <w:t>(b) Glutaraldehyde soaking of heat-sensitive endoscopes</w:t>
      </w:r>
    </w:p>
    <w:p>
      <w:pPr>
        <w:spacing w:after="0" w:before="0"/>
      </w:pPr>
      <w:r>
        <w:rPr>
          <w:b w:val="0"/>
          <w:i w:val="0"/>
          <w:sz w:val="22"/>
        </w:rPr>
        <w:t>(c) Boiling for one minute</w:t>
      </w:r>
    </w:p>
    <w:p>
      <w:pPr>
        <w:spacing w:after="0" w:before="0"/>
      </w:pPr>
      <w:r>
        <w:rPr>
          <w:b w:val="0"/>
          <w:i w:val="0"/>
          <w:sz w:val="22"/>
        </w:rPr>
        <w:t>(d) Ultraviolet exposure</w:t>
      </w:r>
    </w:p>
    <w:p>
      <w:pPr>
        <w:spacing w:after="0" w:before="40"/>
      </w:pPr>
      <w:r>
        <w:rPr>
          <w:b/>
          <w:i w:val="0"/>
          <w:sz w:val="22"/>
        </w:rPr>
        <w:t>Answer: b</w:t>
      </w:r>
    </w:p>
    <w:p>
      <w:pPr>
        <w:spacing w:after="0" w:before="0"/>
      </w:pPr>
      <w:r>
        <w:rPr>
          <w:b w:val="0"/>
          <w:i w:val="0"/>
          <w:sz w:val="21"/>
        </w:rPr>
        <w:t>Solution: High-level disinfection with chemical agents such as glutaraldehyde or orthophthalaldehyde destroys all microorganisms except some spores and is used for heat-sensitive instruments like endoscopes. Soap and water clean, boiling and UV are intermediate methods, and sterilisation (autoclave) kills all organisms including spores.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side effect of long-term phenytoin therapy?</w:t>
      </w:r>
    </w:p>
    <w:p>
      <w:pPr>
        <w:spacing w:after="0" w:before="0"/>
      </w:pPr>
      <w:r>
        <w:rPr>
          <w:b w:val="0"/>
          <w:i w:val="0"/>
          <w:sz w:val="22"/>
        </w:rPr>
        <w:t>(a) Weight loss</w:t>
      </w:r>
    </w:p>
    <w:p>
      <w:pPr>
        <w:spacing w:after="0" w:before="0"/>
      </w:pPr>
      <w:r>
        <w:rPr>
          <w:b w:val="0"/>
          <w:i w:val="0"/>
          <w:sz w:val="22"/>
        </w:rPr>
        <w:t>(b) Hypoglycaemia</w:t>
      </w:r>
    </w:p>
    <w:p>
      <w:pPr>
        <w:spacing w:after="0" w:before="0"/>
      </w:pPr>
      <w:r>
        <w:rPr>
          <w:b w:val="0"/>
          <w:i w:val="0"/>
          <w:sz w:val="22"/>
        </w:rPr>
        <w:t>(c) Gingival hyperplasia</w:t>
      </w:r>
    </w:p>
    <w:p>
      <w:pPr>
        <w:spacing w:after="0" w:before="0"/>
      </w:pPr>
      <w:r>
        <w:rPr>
          <w:b w:val="0"/>
          <w:i w:val="0"/>
          <w:sz w:val="22"/>
        </w:rPr>
        <w:t>(d) Constipation</w:t>
      </w:r>
    </w:p>
    <w:p>
      <w:pPr>
        <w:spacing w:after="0" w:before="40"/>
      </w:pPr>
      <w:r>
        <w:rPr>
          <w:b/>
          <w:i w:val="0"/>
          <w:sz w:val="22"/>
        </w:rPr>
        <w:t>Answer: c</w:t>
      </w:r>
    </w:p>
    <w:p>
      <w:pPr>
        <w:spacing w:after="0" w:before="0"/>
      </w:pPr>
      <w:r>
        <w:rPr>
          <w:b w:val="0"/>
          <w:i w:val="0"/>
          <w:sz w:val="21"/>
        </w:rPr>
        <w:t>Solution: Phenytoin commonly causes gingival (gum) hyperplasia with long-term use, along with hirsutism, coarsened facial features, and megaloblastic anaemia; good oral hygiene reduces gum overgrowth. Its therapeutic serum level is 10-20 mcg/mL, and levels above that cause toxicity with nystagmus and ataxia.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Tumour grading describes:</w:t>
      </w:r>
    </w:p>
    <w:p>
      <w:pPr>
        <w:spacing w:after="0" w:before="0"/>
      </w:pPr>
      <w:r>
        <w:rPr>
          <w:b w:val="0"/>
          <w:i w:val="0"/>
          <w:sz w:val="22"/>
        </w:rPr>
        <w:t>(a) The extent of tumour spread</w:t>
      </w:r>
    </w:p>
    <w:p>
      <w:pPr>
        <w:spacing w:after="0" w:before="0"/>
      </w:pPr>
      <w:r>
        <w:rPr>
          <w:b w:val="0"/>
          <w:i w:val="0"/>
          <w:sz w:val="22"/>
        </w:rPr>
        <w:t>(b) Tumour size</w:t>
      </w:r>
    </w:p>
    <w:p>
      <w:pPr>
        <w:spacing w:after="0" w:before="0"/>
      </w:pPr>
      <w:r>
        <w:rPr>
          <w:b w:val="0"/>
          <w:i w:val="0"/>
          <w:sz w:val="22"/>
        </w:rPr>
        <w:t>(c) The patient's age</w:t>
      </w:r>
    </w:p>
    <w:p>
      <w:pPr>
        <w:spacing w:after="0" w:before="0"/>
      </w:pPr>
      <w:r>
        <w:rPr>
          <w:b w:val="0"/>
          <w:i w:val="0"/>
          <w:sz w:val="22"/>
        </w:rPr>
        <w:t>(d) The degree of cellular differentiation</w:t>
      </w:r>
    </w:p>
    <w:p>
      <w:pPr>
        <w:spacing w:after="0" w:before="40"/>
      </w:pPr>
      <w:r>
        <w:rPr>
          <w:b/>
          <w:i w:val="0"/>
          <w:sz w:val="22"/>
        </w:rPr>
        <w:t>Answer: d</w:t>
      </w:r>
    </w:p>
    <w:p>
      <w:pPr>
        <w:spacing w:after="0" w:before="0"/>
      </w:pPr>
      <w:r>
        <w:rPr>
          <w:b w:val="0"/>
          <w:i w:val="0"/>
          <w:sz w:val="21"/>
        </w:rPr>
        <w:t>Solution: Grading classifies a tumour by how closely its cells resemble normal tissue (well-differentiated to poorly differentiated) and predicts aggressiveness. Staging describes the extent of spread (TNM), which is separate from grading.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How many Barr bodies are present in the cells of a normal female?</w:t>
      </w:r>
    </w:p>
    <w:p>
      <w:pPr>
        <w:spacing w:after="0" w:before="0"/>
      </w:pPr>
      <w:r>
        <w:rPr>
          <w:b w:val="0"/>
          <w:i w:val="0"/>
          <w:sz w:val="22"/>
        </w:rPr>
        <w:t>(a) One</w:t>
      </w:r>
    </w:p>
    <w:p>
      <w:pPr>
        <w:spacing w:after="0" w:before="0"/>
      </w:pPr>
      <w:r>
        <w:rPr>
          <w:b w:val="0"/>
          <w:i w:val="0"/>
          <w:sz w:val="22"/>
        </w:rPr>
        <w:t>(b) Two</w:t>
      </w:r>
    </w:p>
    <w:p>
      <w:pPr>
        <w:spacing w:after="0" w:before="0"/>
      </w:pPr>
      <w:r>
        <w:rPr>
          <w:b w:val="0"/>
          <w:i w:val="0"/>
          <w:sz w:val="22"/>
        </w:rPr>
        <w:t>(c) Zero</w:t>
      </w:r>
    </w:p>
    <w:p>
      <w:pPr>
        <w:spacing w:after="0" w:before="0"/>
      </w:pPr>
      <w:r>
        <w:rPr>
          <w:b w:val="0"/>
          <w:i w:val="0"/>
          <w:sz w:val="22"/>
        </w:rPr>
        <w:t>(d) Three</w:t>
      </w:r>
    </w:p>
    <w:p>
      <w:pPr>
        <w:spacing w:after="0" w:before="40"/>
      </w:pPr>
      <w:r>
        <w:rPr>
          <w:b/>
          <w:i w:val="0"/>
          <w:sz w:val="22"/>
        </w:rPr>
        <w:t>Answer: a</w:t>
      </w:r>
    </w:p>
    <w:p>
      <w:pPr>
        <w:spacing w:after="0" w:before="0"/>
      </w:pPr>
      <w:r>
        <w:rPr>
          <w:b w:val="0"/>
          <w:i w:val="0"/>
          <w:sz w:val="21"/>
        </w:rPr>
        <w:t>Solution: A normal female (XX) has one Barr body, which is the inactivated X chromosome visible in the nucleus (Lyon hypothesis). A normal male (XY) has none, and each additional X chromosome adds one Barr body.</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