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clinical finding best distinguishes erysipelas from cellulitis?</w:t>
      </w:r>
    </w:p>
    <w:p>
      <w:pPr>
        <w:spacing w:after="0" w:before="0"/>
      </w:pPr>
      <w:r>
        <w:rPr>
          <w:b w:val="0"/>
          <w:i w:val="0"/>
          <w:sz w:val="22"/>
        </w:rPr>
        <w:t>(a) Deep abscess formation</w:t>
      </w:r>
    </w:p>
    <w:p>
      <w:pPr>
        <w:spacing w:after="0" w:before="0"/>
      </w:pPr>
      <w:r>
        <w:rPr>
          <w:b w:val="0"/>
          <w:i w:val="0"/>
          <w:sz w:val="22"/>
        </w:rPr>
        <w:t>(b) Involvement of the muscle fascia</w:t>
      </w:r>
    </w:p>
    <w:p>
      <w:pPr>
        <w:spacing w:after="0" w:before="0"/>
      </w:pPr>
      <w:r>
        <w:rPr>
          <w:b w:val="0"/>
          <w:i w:val="0"/>
          <w:sz w:val="22"/>
        </w:rPr>
        <w:t>(c) A sharply demarcated, raised border</w:t>
      </w:r>
    </w:p>
    <w:p>
      <w:pPr>
        <w:spacing w:after="0" w:before="0"/>
      </w:pPr>
      <w:r>
        <w:rPr>
          <w:b w:val="0"/>
          <w:i w:val="0"/>
          <w:sz w:val="22"/>
        </w:rPr>
        <w:t>(d) Purulent drainage from the site</w:t>
      </w:r>
    </w:p>
    <w:p>
      <w:pPr>
        <w:spacing w:after="0" w:before="40"/>
      </w:pPr>
      <w:r>
        <w:rPr>
          <w:b/>
          <w:i w:val="0"/>
          <w:sz w:val="22"/>
        </w:rPr>
        <w:t>Answer: c</w:t>
      </w:r>
    </w:p>
    <w:p>
      <w:pPr>
        <w:spacing w:after="0" w:before="0"/>
      </w:pPr>
      <w:r>
        <w:rPr>
          <w:b w:val="0"/>
          <w:i w:val="0"/>
          <w:sz w:val="21"/>
        </w:rPr>
        <w:t>Solution: Erysipelas is a superficial streptococcal skin infection with a sharply demarcated, raised, indurated border, usually on the face or lower leg. Cellulitis involves deeper dermis and subcutaneous tissue with a less distinct border.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Raynaud's phenomenon should be taught to:</w:t>
      </w:r>
    </w:p>
    <w:p>
      <w:pPr>
        <w:spacing w:after="0" w:before="0"/>
      </w:pPr>
      <w:r>
        <w:rPr>
          <w:b w:val="0"/>
          <w:i w:val="0"/>
          <w:sz w:val="22"/>
        </w:rPr>
        <w:t>(a) Avoid smoking and keep the hands warm</w:t>
      </w:r>
    </w:p>
    <w:p>
      <w:pPr>
        <w:spacing w:after="0" w:before="0"/>
      </w:pPr>
      <w:r>
        <w:rPr>
          <w:b w:val="0"/>
          <w:i w:val="0"/>
          <w:sz w:val="22"/>
        </w:rPr>
        <w:t>(b) Take hot showers during an attack</w:t>
      </w:r>
    </w:p>
    <w:p>
      <w:pPr>
        <w:spacing w:after="0" w:before="0"/>
      </w:pPr>
      <w:r>
        <w:rPr>
          <w:b w:val="0"/>
          <w:i w:val="0"/>
          <w:sz w:val="22"/>
        </w:rPr>
        <w:t>(c) Exercise the fingers vigorously during an attack</w:t>
      </w:r>
    </w:p>
    <w:p>
      <w:pPr>
        <w:spacing w:after="0" w:before="0"/>
      </w:pPr>
      <w:r>
        <w:rPr>
          <w:b w:val="0"/>
          <w:i w:val="0"/>
          <w:sz w:val="22"/>
        </w:rPr>
        <w:t>(d) Apply a heating pad to the fingertips</w:t>
      </w:r>
    </w:p>
    <w:p>
      <w:pPr>
        <w:spacing w:after="0" w:before="40"/>
      </w:pPr>
      <w:r>
        <w:rPr>
          <w:b/>
          <w:i w:val="0"/>
          <w:sz w:val="22"/>
        </w:rPr>
        <w:t>Answer: a</w:t>
      </w:r>
    </w:p>
    <w:p>
      <w:pPr>
        <w:spacing w:after="0" w:before="0"/>
      </w:pPr>
      <w:r>
        <w:rPr>
          <w:b w:val="0"/>
          <w:i w:val="0"/>
          <w:sz w:val="21"/>
        </w:rPr>
        <w:t>Solution: Raynaud's phenomenon is triggered by cold and stress-induced vasospasm. Smoking cessation and keeping the hands warm reduce attacks; extreme heat, vigorous exercise during an attack, and heating pads risk tissue injury because sensation may be impaired.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description of chest pain is most characteristic of an acute aortic dissection?</w:t>
      </w:r>
    </w:p>
    <w:p>
      <w:pPr>
        <w:spacing w:after="0" w:before="0"/>
      </w:pPr>
      <w:r>
        <w:rPr>
          <w:b w:val="0"/>
          <w:i w:val="0"/>
          <w:sz w:val="22"/>
        </w:rPr>
        <w:t>(a) Crushing substernal pain with diaphoresis</w:t>
      </w:r>
    </w:p>
    <w:p>
      <w:pPr>
        <w:spacing w:after="0" w:before="0"/>
      </w:pPr>
      <w:r>
        <w:rPr>
          <w:b w:val="0"/>
          <w:i w:val="0"/>
          <w:sz w:val="22"/>
        </w:rPr>
        <w:t>(b) Sudden, severe, tearing pain radiating to the back</w:t>
      </w:r>
    </w:p>
    <w:p>
      <w:pPr>
        <w:spacing w:after="0" w:before="0"/>
      </w:pPr>
      <w:r>
        <w:rPr>
          <w:b w:val="0"/>
          <w:i w:val="0"/>
          <w:sz w:val="22"/>
        </w:rPr>
        <w:t>(c) Sharp pleuritic pain worsened by inspiration</w:t>
      </w:r>
    </w:p>
    <w:p>
      <w:pPr>
        <w:spacing w:after="0" w:before="0"/>
      </w:pPr>
      <w:r>
        <w:rPr>
          <w:b w:val="0"/>
          <w:i w:val="0"/>
          <w:sz w:val="22"/>
        </w:rPr>
        <w:t>(d) Burning epigastric pain after meals</w:t>
      </w:r>
    </w:p>
    <w:p>
      <w:pPr>
        <w:spacing w:after="0" w:before="40"/>
      </w:pPr>
      <w:r>
        <w:rPr>
          <w:b/>
          <w:i w:val="0"/>
          <w:sz w:val="22"/>
        </w:rPr>
        <w:t>Answer: b</w:t>
      </w:r>
    </w:p>
    <w:p>
      <w:pPr>
        <w:spacing w:after="0" w:before="0"/>
      </w:pPr>
      <w:r>
        <w:rPr>
          <w:b w:val="0"/>
          <w:i w:val="0"/>
          <w:sz w:val="21"/>
        </w:rPr>
        <w:t>Solution: Aortic dissection classically presents with sudden, severe 'tearing' or 'ripping' chest pain that radiates to the back. Crushing substernal pain suggests myocardial ischaemia, pleuritic pain suggests pericarditis or pleurisy, and postprandial epigastric burning suggests peptic disease.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cirrhosis and oesophageal varices should be taught to:</w:t>
      </w:r>
    </w:p>
    <w:p>
      <w:pPr>
        <w:spacing w:after="0" w:before="0"/>
      </w:pPr>
      <w:r>
        <w:rPr>
          <w:b w:val="0"/>
          <w:i w:val="0"/>
          <w:sz w:val="22"/>
        </w:rPr>
        <w:t>(a) Take aspirin regularly to prevent clotting</w:t>
      </w:r>
    </w:p>
    <w:p>
      <w:pPr>
        <w:spacing w:after="0" w:before="0"/>
      </w:pPr>
      <w:r>
        <w:rPr>
          <w:b w:val="0"/>
          <w:i w:val="0"/>
          <w:sz w:val="22"/>
        </w:rPr>
        <w:t>(b) Drink alcohol in moderation</w:t>
      </w:r>
    </w:p>
    <w:p>
      <w:pPr>
        <w:spacing w:after="0" w:before="0"/>
      </w:pPr>
      <w:r>
        <w:rPr>
          <w:b w:val="0"/>
          <w:i w:val="0"/>
          <w:sz w:val="22"/>
        </w:rPr>
        <w:t>(c) Eat large meals quickly</w:t>
      </w:r>
    </w:p>
    <w:p>
      <w:pPr>
        <w:spacing w:after="0" w:before="0"/>
      </w:pPr>
      <w:r>
        <w:rPr>
          <w:b w:val="0"/>
          <w:i w:val="0"/>
          <w:sz w:val="22"/>
        </w:rPr>
        <w:t>(d) Avoid straining, coughing forcefully, and lifting heavy objects</w:t>
      </w:r>
    </w:p>
    <w:p>
      <w:pPr>
        <w:spacing w:after="0" w:before="40"/>
      </w:pPr>
      <w:r>
        <w:rPr>
          <w:b/>
          <w:i w:val="0"/>
          <w:sz w:val="22"/>
        </w:rPr>
        <w:t>Answer: d</w:t>
      </w:r>
    </w:p>
    <w:p>
      <w:pPr>
        <w:spacing w:after="0" w:before="0"/>
      </w:pPr>
      <w:r>
        <w:rPr>
          <w:b w:val="0"/>
          <w:i w:val="0"/>
          <w:sz w:val="21"/>
        </w:rPr>
        <w:t>Solution: Straining, coughing, and heavy lifting raise intra-abdominal and portal pressure, which can rupture oesophageal varices and cause life-threatening haemorrhage. Aspirin and alcohol increase bleeding risk and must be avoided.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hospitalised with acute diverticulitis. Which dietary intervention is appropriate initially?</w:t>
      </w:r>
    </w:p>
    <w:p>
      <w:pPr>
        <w:spacing w:after="0" w:before="0"/>
      </w:pPr>
      <w:r>
        <w:rPr>
          <w:b w:val="0"/>
          <w:i w:val="0"/>
          <w:sz w:val="22"/>
        </w:rPr>
        <w:t>(a) Clear liquids, advancing as tolerated</w:t>
      </w:r>
    </w:p>
    <w:p>
      <w:pPr>
        <w:spacing w:after="0" w:before="0"/>
      </w:pPr>
      <w:r>
        <w:rPr>
          <w:b w:val="0"/>
          <w:i w:val="0"/>
          <w:sz w:val="22"/>
        </w:rPr>
        <w:t>(b) High-fibre diet started immediately</w:t>
      </w:r>
    </w:p>
    <w:p>
      <w:pPr>
        <w:spacing w:after="0" w:before="0"/>
      </w:pPr>
      <w:r>
        <w:rPr>
          <w:b w:val="0"/>
          <w:i w:val="0"/>
          <w:sz w:val="22"/>
        </w:rPr>
        <w:t>(c) Regular diet with nuts and seeds</w:t>
      </w:r>
    </w:p>
    <w:p>
      <w:pPr>
        <w:spacing w:after="0" w:before="0"/>
      </w:pPr>
      <w:r>
        <w:rPr>
          <w:b w:val="0"/>
          <w:i w:val="0"/>
          <w:sz w:val="22"/>
        </w:rPr>
        <w:t>(d) Complete bed rest with no fluids</w:t>
      </w:r>
    </w:p>
    <w:p>
      <w:pPr>
        <w:spacing w:after="0" w:before="40"/>
      </w:pPr>
      <w:r>
        <w:rPr>
          <w:b/>
          <w:i w:val="0"/>
          <w:sz w:val="22"/>
        </w:rPr>
        <w:t>Answer: a</w:t>
      </w:r>
    </w:p>
    <w:p>
      <w:pPr>
        <w:spacing w:after="0" w:before="0"/>
      </w:pPr>
      <w:r>
        <w:rPr>
          <w:b w:val="0"/>
          <w:i w:val="0"/>
          <w:sz w:val="21"/>
        </w:rPr>
        <w:t>Solution: In acute diverticulitis, the inflamed bowel is rested with a clear-liquid diet, advancing as inflammation resolves. High-fibre foods are recommended for prevention after recovery, and nuts or seeds are avoided during the acute phase.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factor is a major risk factor for gastric cancer?</w:t>
      </w:r>
    </w:p>
    <w:p>
      <w:pPr>
        <w:spacing w:after="0" w:before="0"/>
      </w:pPr>
      <w:r>
        <w:rPr>
          <w:b w:val="0"/>
          <w:i w:val="0"/>
          <w:sz w:val="22"/>
        </w:rPr>
        <w:t>(a) High vitamin C intake</w:t>
      </w:r>
    </w:p>
    <w:p>
      <w:pPr>
        <w:spacing w:after="0" w:before="0"/>
      </w:pPr>
      <w:r>
        <w:rPr>
          <w:b w:val="0"/>
          <w:i w:val="0"/>
          <w:sz w:val="22"/>
        </w:rPr>
        <w:t>(b) Regular physical activity</w:t>
      </w:r>
    </w:p>
    <w:p>
      <w:pPr>
        <w:spacing w:after="0" w:before="0"/>
      </w:pPr>
      <w:r>
        <w:rPr>
          <w:b w:val="0"/>
          <w:i w:val="0"/>
          <w:sz w:val="22"/>
        </w:rPr>
        <w:t>(c) Helicobacter pylori infection</w:t>
      </w:r>
    </w:p>
    <w:p>
      <w:pPr>
        <w:spacing w:after="0" w:before="0"/>
      </w:pPr>
      <w:r>
        <w:rPr>
          <w:b w:val="0"/>
          <w:i w:val="0"/>
          <w:sz w:val="22"/>
        </w:rPr>
        <w:t>(d) Lactose intolerance</w:t>
      </w:r>
    </w:p>
    <w:p>
      <w:pPr>
        <w:spacing w:after="0" w:before="40"/>
      </w:pPr>
      <w:r>
        <w:rPr>
          <w:b/>
          <w:i w:val="0"/>
          <w:sz w:val="22"/>
        </w:rPr>
        <w:t>Answer: c</w:t>
      </w:r>
    </w:p>
    <w:p>
      <w:pPr>
        <w:spacing w:after="0" w:before="0"/>
      </w:pPr>
      <w:r>
        <w:rPr>
          <w:b w:val="0"/>
          <w:i w:val="0"/>
          <w:sz w:val="21"/>
        </w:rPr>
        <w:t>Solution: Chronic Helicobacter pylori infection is a well-established major risk factor for gastric cancer, along with smoking, salted and smoked foods, and family history. Vitamin C intake and physical activity are protective.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technique is correct when obtaining a throat swab?</w:t>
      </w:r>
    </w:p>
    <w:p>
      <w:pPr>
        <w:spacing w:after="0" w:before="0"/>
      </w:pPr>
      <w:r>
        <w:rPr>
          <w:b w:val="0"/>
          <w:i w:val="0"/>
          <w:sz w:val="22"/>
        </w:rPr>
        <w:t>(a) Swab the inside of the cheek</w:t>
      </w:r>
    </w:p>
    <w:p>
      <w:pPr>
        <w:spacing w:after="0" w:before="0"/>
      </w:pPr>
      <w:r>
        <w:rPr>
          <w:b w:val="0"/>
          <w:i w:val="0"/>
          <w:sz w:val="22"/>
        </w:rPr>
        <w:t>(b) Swab the tonsillar area and posterior pharynx, avoiding the tongue</w:t>
      </w:r>
    </w:p>
    <w:p>
      <w:pPr>
        <w:spacing w:after="0" w:before="0"/>
      </w:pPr>
      <w:r>
        <w:rPr>
          <w:b w:val="0"/>
          <w:i w:val="0"/>
          <w:sz w:val="22"/>
        </w:rPr>
        <w:t>(c) Swab the nasal cavity</w:t>
      </w:r>
    </w:p>
    <w:p>
      <w:pPr>
        <w:spacing w:after="0" w:before="0"/>
      </w:pPr>
      <w:r>
        <w:rPr>
          <w:b w:val="0"/>
          <w:i w:val="0"/>
          <w:sz w:val="22"/>
        </w:rPr>
        <w:t>(d) Swab the tongue surface</w:t>
      </w:r>
    </w:p>
    <w:p>
      <w:pPr>
        <w:spacing w:after="0" w:before="40"/>
      </w:pPr>
      <w:r>
        <w:rPr>
          <w:b/>
          <w:i w:val="0"/>
          <w:sz w:val="22"/>
        </w:rPr>
        <w:t>Answer: b</w:t>
      </w:r>
    </w:p>
    <w:p>
      <w:pPr>
        <w:spacing w:after="0" w:before="0"/>
      </w:pPr>
      <w:r>
        <w:rPr>
          <w:b w:val="0"/>
          <w:i w:val="0"/>
          <w:sz w:val="21"/>
        </w:rPr>
        <w:t>Solution: A throat swab must sample the tonsillar pillars and posterior pharynx, where pathogens are most concentrated, while avoiding the tongue and cheeks to prevent contamination with normal oral flora.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which position should the nurse place a client to administer nasal drops?</w:t>
      </w:r>
    </w:p>
    <w:p>
      <w:pPr>
        <w:spacing w:after="0" w:before="0"/>
      </w:pPr>
      <w:r>
        <w:rPr>
          <w:b w:val="0"/>
          <w:i w:val="0"/>
          <w:sz w:val="22"/>
        </w:rPr>
        <w:t>(a) Supine with the head hyperextended</w:t>
      </w:r>
    </w:p>
    <w:p>
      <w:pPr>
        <w:spacing w:after="0" w:before="0"/>
      </w:pPr>
      <w:r>
        <w:rPr>
          <w:b w:val="0"/>
          <w:i w:val="0"/>
          <w:sz w:val="22"/>
        </w:rPr>
        <w:t>(b) Prone</w:t>
      </w:r>
    </w:p>
    <w:p>
      <w:pPr>
        <w:spacing w:after="0" w:before="0"/>
      </w:pPr>
      <w:r>
        <w:rPr>
          <w:b w:val="0"/>
          <w:i w:val="0"/>
          <w:sz w:val="22"/>
        </w:rPr>
        <w:t>(c) High Fowler's</w:t>
      </w:r>
    </w:p>
    <w:p>
      <w:pPr>
        <w:spacing w:after="0" w:before="0"/>
      </w:pPr>
      <w:r>
        <w:rPr>
          <w:b w:val="0"/>
          <w:i w:val="0"/>
          <w:sz w:val="22"/>
        </w:rPr>
        <w:t>(d) Left lateral</w:t>
      </w:r>
    </w:p>
    <w:p>
      <w:pPr>
        <w:spacing w:after="0" w:before="40"/>
      </w:pPr>
      <w:r>
        <w:rPr>
          <w:b/>
          <w:i w:val="0"/>
          <w:sz w:val="22"/>
        </w:rPr>
        <w:t>Answer: a</w:t>
      </w:r>
    </w:p>
    <w:p>
      <w:pPr>
        <w:spacing w:after="0" w:before="0"/>
      </w:pPr>
      <w:r>
        <w:rPr>
          <w:b w:val="0"/>
          <w:i w:val="0"/>
          <w:sz w:val="21"/>
        </w:rPr>
        <w:t>Solution: Nasal drops are instilled with the client supine and the head hyperextended so the medication reaches the posterior nasal passages and sinuses. The client should remain in position briefly to allow absorption.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Steam inhalation is most effective for relieving:</w:t>
      </w:r>
    </w:p>
    <w:p>
      <w:pPr>
        <w:spacing w:after="0" w:before="0"/>
      </w:pPr>
      <w:r>
        <w:rPr>
          <w:b w:val="0"/>
          <w:i w:val="0"/>
          <w:sz w:val="22"/>
        </w:rPr>
        <w:t>(a) Chest pain</w:t>
      </w:r>
    </w:p>
    <w:p>
      <w:pPr>
        <w:spacing w:after="0" w:before="0"/>
      </w:pPr>
      <w:r>
        <w:rPr>
          <w:b w:val="0"/>
          <w:i w:val="0"/>
          <w:sz w:val="22"/>
        </w:rPr>
        <w:t>(b) Abdominal distension</w:t>
      </w:r>
    </w:p>
    <w:p>
      <w:pPr>
        <w:spacing w:after="0" w:before="0"/>
      </w:pPr>
      <w:r>
        <w:rPr>
          <w:b w:val="0"/>
          <w:i w:val="0"/>
          <w:sz w:val="22"/>
        </w:rPr>
        <w:t>(c) Joint stiffness</w:t>
      </w:r>
    </w:p>
    <w:p>
      <w:pPr>
        <w:spacing w:after="0" w:before="0"/>
      </w:pPr>
      <w:r>
        <w:rPr>
          <w:b w:val="0"/>
          <w:i w:val="0"/>
          <w:sz w:val="22"/>
        </w:rPr>
        <w:t>(d) Upper respiratory tract congestion</w:t>
      </w:r>
    </w:p>
    <w:p>
      <w:pPr>
        <w:spacing w:after="0" w:before="40"/>
      </w:pPr>
      <w:r>
        <w:rPr>
          <w:b/>
          <w:i w:val="0"/>
          <w:sz w:val="22"/>
        </w:rPr>
        <w:t>Answer: d</w:t>
      </w:r>
    </w:p>
    <w:p>
      <w:pPr>
        <w:spacing w:after="0" w:before="0"/>
      </w:pPr>
      <w:r>
        <w:rPr>
          <w:b w:val="0"/>
          <w:i w:val="0"/>
          <w:sz w:val="21"/>
        </w:rPr>
        <w:t>Solution: Steam inhalation moistens and warms the airways, liquefying secretions and easing upper respiratory congestion. It has no direct effect on chest pain, abdominal distension, or joint stiffness.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client is a candidate for a trial of labour after a previous caesarean (VBAC)?</w:t>
      </w:r>
    </w:p>
    <w:p>
      <w:pPr>
        <w:spacing w:after="0" w:before="0"/>
      </w:pPr>
      <w:r>
        <w:rPr>
          <w:b w:val="0"/>
          <w:i w:val="0"/>
          <w:sz w:val="22"/>
        </w:rPr>
        <w:t>(a) A client with a prior classical caesarean incision</w:t>
      </w:r>
    </w:p>
    <w:p>
      <w:pPr>
        <w:spacing w:after="0" w:before="0"/>
      </w:pPr>
      <w:r>
        <w:rPr>
          <w:b w:val="0"/>
          <w:i w:val="0"/>
          <w:sz w:val="22"/>
        </w:rPr>
        <w:t>(b) A client with a prior uterine rupture</w:t>
      </w:r>
    </w:p>
    <w:p>
      <w:pPr>
        <w:spacing w:after="0" w:before="0"/>
      </w:pPr>
      <w:r>
        <w:rPr>
          <w:b w:val="0"/>
          <w:i w:val="0"/>
          <w:sz w:val="22"/>
        </w:rPr>
        <w:t>(c) A client with one prior low-transverse caesarean and no contraindications</w:t>
      </w:r>
    </w:p>
    <w:p>
      <w:pPr>
        <w:spacing w:after="0" w:before="0"/>
      </w:pPr>
      <w:r>
        <w:rPr>
          <w:b w:val="0"/>
          <w:i w:val="0"/>
          <w:sz w:val="22"/>
        </w:rPr>
        <w:t>(d) A client with a prior hysterotomy</w:t>
      </w:r>
    </w:p>
    <w:p>
      <w:pPr>
        <w:spacing w:after="0" w:before="40"/>
      </w:pPr>
      <w:r>
        <w:rPr>
          <w:b/>
          <w:i w:val="0"/>
          <w:sz w:val="22"/>
        </w:rPr>
        <w:t>Answer: c</w:t>
      </w:r>
    </w:p>
    <w:p>
      <w:pPr>
        <w:spacing w:after="0" w:before="0"/>
      </w:pPr>
      <w:r>
        <w:rPr>
          <w:b w:val="0"/>
          <w:i w:val="0"/>
          <w:sz w:val="21"/>
        </w:rPr>
        <w:t>Solution: VBAC is considered for a client with one prior low-transverse uterine incision and no other contraindications, ideally in a facility with resources for emergency caesarean. Classical incisions, prior uterine rupture, and hysterotomy greatly increase rupture risk and rule out VBAC.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in active labour suddenly develops severe dyspnoea, chest pain, cyanosis, and hypotension followed by cardiac arrest. Which condition is most likely?</w:t>
      </w:r>
    </w:p>
    <w:p>
      <w:pPr>
        <w:spacing w:after="0" w:before="0"/>
      </w:pPr>
      <w:r>
        <w:rPr>
          <w:b w:val="0"/>
          <w:i w:val="0"/>
          <w:sz w:val="22"/>
        </w:rPr>
        <w:t>(a) Eclampsia</w:t>
      </w:r>
    </w:p>
    <w:p>
      <w:pPr>
        <w:spacing w:after="0" w:before="0"/>
      </w:pPr>
      <w:r>
        <w:rPr>
          <w:b w:val="0"/>
          <w:i w:val="0"/>
          <w:sz w:val="22"/>
        </w:rPr>
        <w:t>(b) Amniotic fluid embolism</w:t>
      </w:r>
    </w:p>
    <w:p>
      <w:pPr>
        <w:spacing w:after="0" w:before="0"/>
      </w:pPr>
      <w:r>
        <w:rPr>
          <w:b w:val="0"/>
          <w:i w:val="0"/>
          <w:sz w:val="22"/>
        </w:rPr>
        <w:t>(c) Placental abruption</w:t>
      </w:r>
    </w:p>
    <w:p>
      <w:pPr>
        <w:spacing w:after="0" w:before="0"/>
      </w:pPr>
      <w:r>
        <w:rPr>
          <w:b w:val="0"/>
          <w:i w:val="0"/>
          <w:sz w:val="22"/>
        </w:rPr>
        <w:t>(d) Uterine rupture</w:t>
      </w:r>
    </w:p>
    <w:p>
      <w:pPr>
        <w:spacing w:after="0" w:before="40"/>
      </w:pPr>
      <w:r>
        <w:rPr>
          <w:b/>
          <w:i w:val="0"/>
          <w:sz w:val="22"/>
        </w:rPr>
        <w:t>Answer: b</w:t>
      </w:r>
    </w:p>
    <w:p>
      <w:pPr>
        <w:spacing w:after="0" w:before="0"/>
      </w:pPr>
      <w:r>
        <w:rPr>
          <w:b w:val="0"/>
          <w:i w:val="0"/>
          <w:sz w:val="21"/>
        </w:rPr>
        <w:t>Solution: Amniotic fluid embolism presents with sudden cardiorespiratory collapse during labour or shortly after delivery, caused by amniotic fluid entering the maternal circulation and triggering a systemic inflammatory response. It is a catastrophic obstetric emergency requiring aggressive resuscitation.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client is at highest risk for placenta accreta?</w:t>
      </w:r>
    </w:p>
    <w:p>
      <w:pPr>
        <w:spacing w:after="0" w:before="0"/>
      </w:pPr>
      <w:r>
        <w:rPr>
          <w:b w:val="0"/>
          <w:i w:val="0"/>
          <w:sz w:val="22"/>
        </w:rPr>
        <w:t>(a) A client with a prior caesarean and placenta previa</w:t>
      </w:r>
    </w:p>
    <w:p>
      <w:pPr>
        <w:spacing w:after="0" w:before="0"/>
      </w:pPr>
      <w:r>
        <w:rPr>
          <w:b w:val="0"/>
          <w:i w:val="0"/>
          <w:sz w:val="22"/>
        </w:rPr>
        <w:t>(b) A primigravida at term</w:t>
      </w:r>
    </w:p>
    <w:p>
      <w:pPr>
        <w:spacing w:after="0" w:before="0"/>
      </w:pPr>
      <w:r>
        <w:rPr>
          <w:b w:val="0"/>
          <w:i w:val="0"/>
          <w:sz w:val="22"/>
        </w:rPr>
        <w:t>(c) A client with gestational diabetes</w:t>
      </w:r>
    </w:p>
    <w:p>
      <w:pPr>
        <w:spacing w:after="0" w:before="0"/>
      </w:pPr>
      <w:r>
        <w:rPr>
          <w:b w:val="0"/>
          <w:i w:val="0"/>
          <w:sz w:val="22"/>
        </w:rPr>
        <w:t>(d) A client with oligohydramnios</w:t>
      </w:r>
    </w:p>
    <w:p>
      <w:pPr>
        <w:spacing w:after="0" w:before="40"/>
      </w:pPr>
      <w:r>
        <w:rPr>
          <w:b/>
          <w:i w:val="0"/>
          <w:sz w:val="22"/>
        </w:rPr>
        <w:t>Answer: a</w:t>
      </w:r>
    </w:p>
    <w:p>
      <w:pPr>
        <w:spacing w:after="0" w:before="0"/>
      </w:pPr>
      <w:r>
        <w:rPr>
          <w:b w:val="0"/>
          <w:i w:val="0"/>
          <w:sz w:val="21"/>
        </w:rPr>
        <w:t>Solution: Prior uterine scarring (especially caesarean) combined with placenta previa is the strongest risk factor for placenta accreta, in which the placenta invades the uterine wall. It can cause massive postpartum haemorrhage and often requires hysterectomy.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develops anxiety, depressed mood, and difficulty sleeping within 3 months of losing a job, and the symptoms gradually improve over the next months. Which diagnosis is most likely?</w:t>
      </w:r>
    </w:p>
    <w:p>
      <w:pPr>
        <w:spacing w:after="0" w:before="0"/>
      </w:pPr>
      <w:r>
        <w:rPr>
          <w:b w:val="0"/>
          <w:i w:val="0"/>
          <w:sz w:val="22"/>
        </w:rPr>
        <w:t>(a) Major depressive disorder</w:t>
      </w:r>
    </w:p>
    <w:p>
      <w:pPr>
        <w:spacing w:after="0" w:before="0"/>
      </w:pPr>
      <w:r>
        <w:rPr>
          <w:b w:val="0"/>
          <w:i w:val="0"/>
          <w:sz w:val="22"/>
        </w:rPr>
        <w:t>(b) Post-traumatic stress disorder</w:t>
      </w:r>
    </w:p>
    <w:p>
      <w:pPr>
        <w:spacing w:after="0" w:before="0"/>
      </w:pPr>
      <w:r>
        <w:rPr>
          <w:b w:val="0"/>
          <w:i w:val="0"/>
          <w:sz w:val="22"/>
        </w:rPr>
        <w:t>(c) Generalized anxiety disorder</w:t>
      </w:r>
    </w:p>
    <w:p>
      <w:pPr>
        <w:spacing w:after="0" w:before="0"/>
      </w:pPr>
      <w:r>
        <w:rPr>
          <w:b w:val="0"/>
          <w:i w:val="0"/>
          <w:sz w:val="22"/>
        </w:rPr>
        <w:t>(d) Adjustment disorder</w:t>
      </w:r>
    </w:p>
    <w:p>
      <w:pPr>
        <w:spacing w:after="0" w:before="40"/>
      </w:pPr>
      <w:r>
        <w:rPr>
          <w:b/>
          <w:i w:val="0"/>
          <w:sz w:val="22"/>
        </w:rPr>
        <w:t>Answer: d</w:t>
      </w:r>
    </w:p>
    <w:p>
      <w:pPr>
        <w:spacing w:after="0" w:before="0"/>
      </w:pPr>
      <w:r>
        <w:rPr>
          <w:b w:val="0"/>
          <w:i w:val="0"/>
          <w:sz w:val="21"/>
        </w:rPr>
        <w:t>Solution: Adjustment disorder is emotional or behavioural symptoms that develop within 3 months of a identifiable stressor and do not meet criteria for a major mental disorder. MDD, PTSD, and GAD require more severe or specific symptom patterns.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reports gaps in memory for whole periods of time and is found to have several distinct personality states. Which disorder is most likely?</w:t>
      </w:r>
    </w:p>
    <w:p>
      <w:pPr>
        <w:spacing w:after="0" w:before="0"/>
      </w:pPr>
      <w:r>
        <w:rPr>
          <w:b w:val="0"/>
          <w:i w:val="0"/>
          <w:sz w:val="22"/>
        </w:rPr>
        <w:t>(a) Schizophrenia</w:t>
      </w:r>
    </w:p>
    <w:p>
      <w:pPr>
        <w:spacing w:after="0" w:before="0"/>
      </w:pPr>
      <w:r>
        <w:rPr>
          <w:b w:val="0"/>
          <w:i w:val="0"/>
          <w:sz w:val="22"/>
        </w:rPr>
        <w:t>(b) Borderline personality disorder</w:t>
      </w:r>
    </w:p>
    <w:p>
      <w:pPr>
        <w:spacing w:after="0" w:before="0"/>
      </w:pPr>
      <w:r>
        <w:rPr>
          <w:b w:val="0"/>
          <w:i w:val="0"/>
          <w:sz w:val="22"/>
        </w:rPr>
        <w:t>(c) Dissociative identity disorder</w:t>
      </w:r>
    </w:p>
    <w:p>
      <w:pPr>
        <w:spacing w:after="0" w:before="0"/>
      </w:pPr>
      <w:r>
        <w:rPr>
          <w:b w:val="0"/>
          <w:i w:val="0"/>
          <w:sz w:val="22"/>
        </w:rPr>
        <w:t>(d) Malingering</w:t>
      </w:r>
    </w:p>
    <w:p>
      <w:pPr>
        <w:spacing w:after="0" w:before="40"/>
      </w:pPr>
      <w:r>
        <w:rPr>
          <w:b/>
          <w:i w:val="0"/>
          <w:sz w:val="22"/>
        </w:rPr>
        <w:t>Answer: c</w:t>
      </w:r>
    </w:p>
    <w:p>
      <w:pPr>
        <w:spacing w:after="0" w:before="0"/>
      </w:pPr>
      <w:r>
        <w:rPr>
          <w:b w:val="0"/>
          <w:i w:val="0"/>
          <w:sz w:val="21"/>
        </w:rPr>
        <w:t>Solution: Dissociative identity disorder is characterised by the presence of two or more distinct personality states with amnesia for important personal information. It typically follows severe childhood trauma; it is not a feature of schizophrenia or borderline personality disorder.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nurse notes a blue-grey pigmented area over the sacrum of a 2-day-old infant. Which is the most appropriate action?</w:t>
      </w:r>
    </w:p>
    <w:p>
      <w:pPr>
        <w:spacing w:after="0" w:before="0"/>
      </w:pPr>
      <w:r>
        <w:rPr>
          <w:b w:val="0"/>
          <w:i w:val="0"/>
          <w:sz w:val="22"/>
        </w:rPr>
        <w:t>(a) Document it as a normal finding</w:t>
      </w:r>
    </w:p>
    <w:p>
      <w:pPr>
        <w:spacing w:after="0" w:before="0"/>
      </w:pPr>
      <w:r>
        <w:rPr>
          <w:b w:val="0"/>
          <w:i w:val="0"/>
          <w:sz w:val="22"/>
        </w:rPr>
        <w:t>(b) Notify the provider immediately</w:t>
      </w:r>
    </w:p>
    <w:p>
      <w:pPr>
        <w:spacing w:after="0" w:before="0"/>
      </w:pPr>
      <w:r>
        <w:rPr>
          <w:b w:val="0"/>
          <w:i w:val="0"/>
          <w:sz w:val="22"/>
        </w:rPr>
        <w:t>(c) Apply a topical cream</w:t>
      </w:r>
    </w:p>
    <w:p>
      <w:pPr>
        <w:spacing w:after="0" w:before="0"/>
      </w:pPr>
      <w:r>
        <w:rPr>
          <w:b w:val="0"/>
          <w:i w:val="0"/>
          <w:sz w:val="22"/>
        </w:rPr>
        <w:t>(d) Order a skin biopsy</w:t>
      </w:r>
    </w:p>
    <w:p>
      <w:pPr>
        <w:spacing w:after="0" w:before="40"/>
      </w:pPr>
      <w:r>
        <w:rPr>
          <w:b/>
          <w:i w:val="0"/>
          <w:sz w:val="22"/>
        </w:rPr>
        <w:t>Answer: a</w:t>
      </w:r>
    </w:p>
    <w:p>
      <w:pPr>
        <w:spacing w:after="0" w:before="0"/>
      </w:pPr>
      <w:r>
        <w:rPr>
          <w:b w:val="0"/>
          <w:i w:val="0"/>
          <w:sz w:val="21"/>
        </w:rPr>
        <w:t>Solution: A Mongolian spot is a benign, bluish-grey pigmented macule commonly seen over the sacrum in dark-skinned infants. It fades over years and requires no treatment, only documentation to avoid confusion with bruising.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2-day-old newborn has erythematous macules with small vesicles on the trunk but is otherwise well and feeding normally. Which condition is most likely?</w:t>
      </w:r>
    </w:p>
    <w:p>
      <w:pPr>
        <w:spacing w:after="0" w:before="0"/>
      </w:pPr>
      <w:r>
        <w:rPr>
          <w:b w:val="0"/>
          <w:i w:val="0"/>
          <w:sz w:val="22"/>
        </w:rPr>
        <w:t>(a) Impetigo</w:t>
      </w:r>
    </w:p>
    <w:p>
      <w:pPr>
        <w:spacing w:after="0" w:before="0"/>
      </w:pPr>
      <w:r>
        <w:rPr>
          <w:b w:val="0"/>
          <w:i w:val="0"/>
          <w:sz w:val="22"/>
        </w:rPr>
        <w:t>(b) Erythema toxicum neonatorum</w:t>
      </w:r>
    </w:p>
    <w:p>
      <w:pPr>
        <w:spacing w:after="0" w:before="0"/>
      </w:pPr>
      <w:r>
        <w:rPr>
          <w:b w:val="0"/>
          <w:i w:val="0"/>
          <w:sz w:val="22"/>
        </w:rPr>
        <w:t>(c) Neonatal herpes</w:t>
      </w:r>
    </w:p>
    <w:p>
      <w:pPr>
        <w:spacing w:after="0" w:before="0"/>
      </w:pPr>
      <w:r>
        <w:rPr>
          <w:b w:val="0"/>
          <w:i w:val="0"/>
          <w:sz w:val="22"/>
        </w:rPr>
        <w:t>(d) Candidiasis</w:t>
      </w:r>
    </w:p>
    <w:p>
      <w:pPr>
        <w:spacing w:after="0" w:before="40"/>
      </w:pPr>
      <w:r>
        <w:rPr>
          <w:b/>
          <w:i w:val="0"/>
          <w:sz w:val="22"/>
        </w:rPr>
        <w:t>Answer: b</w:t>
      </w:r>
    </w:p>
    <w:p>
      <w:pPr>
        <w:spacing w:after="0" w:before="0"/>
      </w:pPr>
      <w:r>
        <w:rPr>
          <w:b w:val="0"/>
          <w:i w:val="0"/>
          <w:sz w:val="21"/>
        </w:rPr>
        <w:t>Solution: Erythema toxicum neonatorum is a benign, self-limiting newborn rash of erythematous macules and vesicles appearing in the first days of life; it requires no treatment. Neonatal herpes and bacterial infection would be accompanied by systemic illness.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an outbreak investigation, the first case identified in a family with hepatitis A is called the:</w:t>
      </w:r>
    </w:p>
    <w:p>
      <w:pPr>
        <w:spacing w:after="0" w:before="0"/>
      </w:pPr>
      <w:r>
        <w:rPr>
          <w:b w:val="0"/>
          <w:i w:val="0"/>
          <w:sz w:val="22"/>
        </w:rPr>
        <w:t>(a) Secondary case</w:t>
      </w:r>
    </w:p>
    <w:p>
      <w:pPr>
        <w:spacing w:after="0" w:before="0"/>
      </w:pPr>
      <w:r>
        <w:rPr>
          <w:b w:val="0"/>
          <w:i w:val="0"/>
          <w:sz w:val="22"/>
        </w:rPr>
        <w:t>(b) Carrier</w:t>
      </w:r>
    </w:p>
    <w:p>
      <w:pPr>
        <w:spacing w:after="0" w:before="0"/>
      </w:pPr>
      <w:r>
        <w:rPr>
          <w:b w:val="0"/>
          <w:i w:val="0"/>
          <w:sz w:val="22"/>
        </w:rPr>
        <w:t>(c) Reservoir</w:t>
      </w:r>
    </w:p>
    <w:p>
      <w:pPr>
        <w:spacing w:after="0" w:before="0"/>
      </w:pPr>
      <w:r>
        <w:rPr>
          <w:b w:val="0"/>
          <w:i w:val="0"/>
          <w:sz w:val="22"/>
        </w:rPr>
        <w:t>(d) Index case</w:t>
      </w:r>
    </w:p>
    <w:p>
      <w:pPr>
        <w:spacing w:after="0" w:before="40"/>
      </w:pPr>
      <w:r>
        <w:rPr>
          <w:b/>
          <w:i w:val="0"/>
          <w:sz w:val="22"/>
        </w:rPr>
        <w:t>Answer: d</w:t>
      </w:r>
    </w:p>
    <w:p>
      <w:pPr>
        <w:spacing w:after="0" w:before="0"/>
      </w:pPr>
      <w:r>
        <w:rPr>
          <w:b w:val="0"/>
          <w:i w:val="0"/>
          <w:sz w:val="21"/>
        </w:rPr>
        <w:t>Solution: The index case is the first case of a disease detected in an outbreak, which may not be the true source. Secondary cases are those infected from contact with the index case; the reservoir is where the pathogen normally lives.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primary purpose of contact tracing in an infectious disease outbreak?</w:t>
      </w:r>
    </w:p>
    <w:p>
      <w:pPr>
        <w:spacing w:after="0" w:before="0"/>
      </w:pPr>
      <w:r>
        <w:rPr>
          <w:b w:val="0"/>
          <w:i w:val="0"/>
          <w:sz w:val="22"/>
        </w:rPr>
        <w:t>(a) Identify and follow exposed persons to prevent further spread</w:t>
      </w:r>
    </w:p>
    <w:p>
      <w:pPr>
        <w:spacing w:after="0" w:before="0"/>
      </w:pPr>
      <w:r>
        <w:rPr>
          <w:b w:val="0"/>
          <w:i w:val="0"/>
          <w:sz w:val="22"/>
        </w:rPr>
        <w:t>(b) Calculate the case fatality rate</w:t>
      </w:r>
    </w:p>
    <w:p>
      <w:pPr>
        <w:spacing w:after="0" w:before="0"/>
      </w:pPr>
      <w:r>
        <w:rPr>
          <w:b w:val="0"/>
          <w:i w:val="0"/>
          <w:sz w:val="22"/>
        </w:rPr>
        <w:t>(c) Determine the reservoir of infection</w:t>
      </w:r>
    </w:p>
    <w:p>
      <w:pPr>
        <w:spacing w:after="0" w:before="0"/>
      </w:pPr>
      <w:r>
        <w:rPr>
          <w:b w:val="0"/>
          <w:i w:val="0"/>
          <w:sz w:val="22"/>
        </w:rPr>
        <w:t>(d) Assess herd immunity</w:t>
      </w:r>
    </w:p>
    <w:p>
      <w:pPr>
        <w:spacing w:after="0" w:before="40"/>
      </w:pPr>
      <w:r>
        <w:rPr>
          <w:b/>
          <w:i w:val="0"/>
          <w:sz w:val="22"/>
        </w:rPr>
        <w:t>Answer: a</w:t>
      </w:r>
    </w:p>
    <w:p>
      <w:pPr>
        <w:spacing w:after="0" w:before="0"/>
      </w:pPr>
      <w:r>
        <w:rPr>
          <w:b w:val="0"/>
          <w:i w:val="0"/>
          <w:sz w:val="21"/>
        </w:rPr>
        <w:t>Solution: Contact tracing identifies everyone exposed to a case so they can be monitored, tested, and if needed quarantined or treated, breaking the chain of transmission. CFR, reservoir, and herd immunity are separate epidemiological concepts.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researcher tests a new teaching method using a pretest and posttest in a single group without a control group. Which study design is this?</w:t>
      </w:r>
    </w:p>
    <w:p>
      <w:pPr>
        <w:spacing w:after="0" w:before="0"/>
      </w:pPr>
      <w:r>
        <w:rPr>
          <w:b w:val="0"/>
          <w:i w:val="0"/>
          <w:sz w:val="22"/>
        </w:rPr>
        <w:t>(a) True experimental</w:t>
      </w:r>
    </w:p>
    <w:p>
      <w:pPr>
        <w:spacing w:after="0" w:before="0"/>
      </w:pPr>
      <w:r>
        <w:rPr>
          <w:b w:val="0"/>
          <w:i w:val="0"/>
          <w:sz w:val="22"/>
        </w:rPr>
        <w:t>(b) Quasi-experimental</w:t>
      </w:r>
    </w:p>
    <w:p>
      <w:pPr>
        <w:spacing w:after="0" w:before="0"/>
      </w:pPr>
      <w:r>
        <w:rPr>
          <w:b w:val="0"/>
          <w:i w:val="0"/>
          <w:sz w:val="22"/>
        </w:rPr>
        <w:t>(c) Descriptive correlational</w:t>
      </w:r>
    </w:p>
    <w:p>
      <w:pPr>
        <w:spacing w:after="0" w:before="0"/>
      </w:pPr>
      <w:r>
        <w:rPr>
          <w:b w:val="0"/>
          <w:i w:val="0"/>
          <w:sz w:val="22"/>
        </w:rPr>
        <w:t>(d) Case study</w:t>
      </w:r>
    </w:p>
    <w:p>
      <w:pPr>
        <w:spacing w:after="0" w:before="40"/>
      </w:pPr>
      <w:r>
        <w:rPr>
          <w:b/>
          <w:i w:val="0"/>
          <w:sz w:val="22"/>
        </w:rPr>
        <w:t>Answer: b</w:t>
      </w:r>
    </w:p>
    <w:p>
      <w:pPr>
        <w:spacing w:after="0" w:before="0"/>
      </w:pPr>
      <w:r>
        <w:rPr>
          <w:b w:val="0"/>
          <w:i w:val="0"/>
          <w:sz w:val="21"/>
        </w:rPr>
        <w:t>Solution: A one-group pretest-posttest design lacks randomisation and a control group, so it is quasi-experimental rather than truly experimental. This limits the strength of causal conclusions because other factors may explain the change.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type 2 diabetes on metformin is scheduled for a CT scan with IV contrast. Which is the appropriate nursing action?</w:t>
      </w:r>
    </w:p>
    <w:p>
      <w:pPr>
        <w:spacing w:after="0" w:before="0"/>
      </w:pPr>
      <w:r>
        <w:rPr>
          <w:b w:val="0"/>
          <w:i w:val="0"/>
          <w:sz w:val="22"/>
        </w:rPr>
        <w:t>(a) Give an extra dose before the scan</w:t>
      </w:r>
    </w:p>
    <w:p>
      <w:pPr>
        <w:spacing w:after="0" w:before="0"/>
      </w:pPr>
      <w:r>
        <w:rPr>
          <w:b w:val="0"/>
          <w:i w:val="0"/>
          <w:sz w:val="22"/>
        </w:rPr>
        <w:t>(b) Continue metformin as usual</w:t>
      </w:r>
    </w:p>
    <w:p>
      <w:pPr>
        <w:spacing w:after="0" w:before="0"/>
      </w:pPr>
      <w:r>
        <w:rPr>
          <w:b w:val="0"/>
          <w:i w:val="0"/>
          <w:sz w:val="22"/>
        </w:rPr>
        <w:t>(c) Hold metformin before and for 48 hours after the procedure</w:t>
      </w:r>
    </w:p>
    <w:p>
      <w:pPr>
        <w:spacing w:after="0" w:before="0"/>
      </w:pPr>
      <w:r>
        <w:rPr>
          <w:b w:val="0"/>
          <w:i w:val="0"/>
          <w:sz w:val="22"/>
        </w:rPr>
        <w:t>(d) Substitute aspirin for metformin</w:t>
      </w:r>
    </w:p>
    <w:p>
      <w:pPr>
        <w:spacing w:after="0" w:before="40"/>
      </w:pPr>
      <w:r>
        <w:rPr>
          <w:b/>
          <w:i w:val="0"/>
          <w:sz w:val="22"/>
        </w:rPr>
        <w:t>Answer: c</w:t>
      </w:r>
    </w:p>
    <w:p>
      <w:pPr>
        <w:spacing w:after="0" w:before="0"/>
      </w:pPr>
      <w:r>
        <w:rPr>
          <w:b w:val="0"/>
          <w:i w:val="0"/>
          <w:sz w:val="21"/>
        </w:rPr>
        <w:t>Solution: Metformin is held before and for 48 hours after iodinated contrast because contrast-induced nephropathy can precipitate lactic acidosis in clients taking metformin. It is resumed only after renal function is rechecked and confirmed normal.</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