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feature of primary aldosteronism (Conn syndrome)?</w:t>
      </w:r>
    </w:p>
    <w:p>
      <w:pPr>
        <w:spacing w:after="0" w:before="0"/>
      </w:pPr>
      <w:r>
        <w:rPr>
          <w:b w:val="0"/>
          <w:i w:val="0"/>
          <w:sz w:val="22"/>
        </w:rPr>
        <w:t>(a) Hypertension with hypokalaemia</w:t>
      </w:r>
    </w:p>
    <w:p>
      <w:pPr>
        <w:spacing w:after="0" w:before="0"/>
      </w:pPr>
      <w:r>
        <w:rPr>
          <w:b w:val="0"/>
          <w:i w:val="0"/>
          <w:sz w:val="22"/>
        </w:rPr>
        <w:t>(b) Hypotension with hyperkalaemia</w:t>
      </w:r>
    </w:p>
    <w:p>
      <w:pPr>
        <w:spacing w:after="0" w:before="0"/>
      </w:pPr>
      <w:r>
        <w:rPr>
          <w:b w:val="0"/>
          <w:i w:val="0"/>
          <w:sz w:val="22"/>
        </w:rPr>
        <w:t>(c) Normal potassium with hypotension</w:t>
      </w:r>
    </w:p>
    <w:p>
      <w:pPr>
        <w:spacing w:after="0" w:before="0"/>
      </w:pPr>
      <w:r>
        <w:rPr>
          <w:b w:val="0"/>
          <w:i w:val="0"/>
          <w:sz w:val="22"/>
        </w:rPr>
        <w:t>(d) Hypernatraemia with oedema only</w:t>
      </w:r>
    </w:p>
    <w:p>
      <w:pPr>
        <w:spacing w:after="0" w:before="40"/>
      </w:pPr>
      <w:r>
        <w:rPr>
          <w:b/>
          <w:i w:val="0"/>
          <w:sz w:val="22"/>
        </w:rPr>
        <w:t>Answer: a</w:t>
      </w:r>
    </w:p>
    <w:p>
      <w:pPr>
        <w:spacing w:after="0" w:before="0"/>
      </w:pPr>
      <w:r>
        <w:rPr>
          <w:b w:val="0"/>
          <w:i w:val="0"/>
          <w:sz w:val="21"/>
        </w:rPr>
        <w:t>Solution: Primary aldosteronism is excess aldosterone from an adrenal adenoma or hyperplasia, causing hypertension, hypokalaemia, metabolic alkalosis, and muscle weakness. The aldosterone-renin ratio and adrenal imaging confirm the diagnosis; treatment is surgery or mineralocorticoid antagonists.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dry eyes, dry mouth, and joint pain. Which autoimmune condition is most likely?</w:t>
      </w:r>
    </w:p>
    <w:p>
      <w:pPr>
        <w:spacing w:after="0" w:before="0"/>
      </w:pPr>
      <w:r>
        <w:rPr>
          <w:b w:val="0"/>
          <w:i w:val="0"/>
          <w:sz w:val="22"/>
        </w:rPr>
        <w:t>(a) Sjogren syndrome</w:t>
      </w:r>
    </w:p>
    <w:p>
      <w:pPr>
        <w:spacing w:after="0" w:before="0"/>
      </w:pPr>
      <w:r>
        <w:rPr>
          <w:b w:val="0"/>
          <w:i w:val="0"/>
          <w:sz w:val="22"/>
        </w:rPr>
        <w:t>(b) Rheumatoid arthritis alone</w:t>
      </w:r>
    </w:p>
    <w:p>
      <w:pPr>
        <w:spacing w:after="0" w:before="0"/>
      </w:pPr>
      <w:r>
        <w:rPr>
          <w:b w:val="0"/>
          <w:i w:val="0"/>
          <w:sz w:val="22"/>
        </w:rPr>
        <w:t>(c) Systemic lupus erythematosus</w:t>
      </w:r>
    </w:p>
    <w:p>
      <w:pPr>
        <w:spacing w:after="0" w:before="0"/>
      </w:pPr>
      <w:r>
        <w:rPr>
          <w:b w:val="0"/>
          <w:i w:val="0"/>
          <w:sz w:val="22"/>
        </w:rPr>
        <w:t>(d) Scleroderma</w:t>
      </w:r>
    </w:p>
    <w:p>
      <w:pPr>
        <w:spacing w:after="0" w:before="40"/>
      </w:pPr>
      <w:r>
        <w:rPr>
          <w:b/>
          <w:i w:val="0"/>
          <w:sz w:val="22"/>
        </w:rPr>
        <w:t>Answer: a</w:t>
      </w:r>
    </w:p>
    <w:p>
      <w:pPr>
        <w:spacing w:after="0" w:before="0"/>
      </w:pPr>
      <w:r>
        <w:rPr>
          <w:b w:val="0"/>
          <w:i w:val="0"/>
          <w:sz w:val="21"/>
        </w:rPr>
        <w:t>Solution: The combination of dry eyes (keratoconjunctivitis sicca) and dry mouth (xerostomia) from autoimmune destruction of lacrimal and salivary glands is characteristic of Sjogren syndrome, which often accompanies rheumatoid arthritis and SLE.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teaching point for a client after excision of a basal cell carcinoma?</w:t>
      </w:r>
    </w:p>
    <w:p>
      <w:pPr>
        <w:spacing w:after="0" w:before="0"/>
      </w:pPr>
      <w:r>
        <w:rPr>
          <w:b w:val="0"/>
          <w:i w:val="0"/>
          <w:sz w:val="22"/>
        </w:rPr>
        <w:t>(a) Use sun protection and report new or changing skin lesions</w:t>
      </w:r>
    </w:p>
    <w:p>
      <w:pPr>
        <w:spacing w:after="0" w:before="0"/>
      </w:pPr>
      <w:r>
        <w:rPr>
          <w:b w:val="0"/>
          <w:i w:val="0"/>
          <w:sz w:val="22"/>
        </w:rPr>
        <w:t>(b) The lesion will recur within weeks</w:t>
      </w:r>
    </w:p>
    <w:p>
      <w:pPr>
        <w:spacing w:after="0" w:before="0"/>
      </w:pPr>
      <w:r>
        <w:rPr>
          <w:b w:val="0"/>
          <w:i w:val="0"/>
          <w:sz w:val="22"/>
        </w:rPr>
        <w:t>(c) No follow-up is needed</w:t>
      </w:r>
    </w:p>
    <w:p>
      <w:pPr>
        <w:spacing w:after="0" w:before="0"/>
      </w:pPr>
      <w:r>
        <w:rPr>
          <w:b w:val="0"/>
          <w:i w:val="0"/>
          <w:sz w:val="22"/>
        </w:rPr>
        <w:t>(d) Apply steroids to the scar</w:t>
      </w:r>
    </w:p>
    <w:p>
      <w:pPr>
        <w:spacing w:after="0" w:before="40"/>
      </w:pPr>
      <w:r>
        <w:rPr>
          <w:b/>
          <w:i w:val="0"/>
          <w:sz w:val="22"/>
        </w:rPr>
        <w:t>Answer: a</w:t>
      </w:r>
    </w:p>
    <w:p>
      <w:pPr>
        <w:spacing w:after="0" w:before="0"/>
      </w:pPr>
      <w:r>
        <w:rPr>
          <w:b w:val="0"/>
          <w:i w:val="0"/>
          <w:sz w:val="21"/>
        </w:rPr>
        <w:t>Solution: Basal cell carcinoma is the most common skin cancer, locally invasive but rarely metastatic; after excision the client uses sun protection and performs monthly skin self-examinations, reporting new lesions. Regular dermatologic follow-up is recommended.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priority action for a client with a snake bite to a lower limb?</w:t>
      </w:r>
    </w:p>
    <w:p>
      <w:pPr>
        <w:spacing w:after="0" w:before="0"/>
      </w:pPr>
      <w:r>
        <w:rPr>
          <w:b w:val="0"/>
          <w:i w:val="0"/>
          <w:sz w:val="22"/>
        </w:rPr>
        <w:t>(a) Immobilise the limb at heart level and transport to a hospital for antivenom</w:t>
      </w:r>
    </w:p>
    <w:p>
      <w:pPr>
        <w:spacing w:after="0" w:before="0"/>
      </w:pPr>
      <w:r>
        <w:rPr>
          <w:b w:val="0"/>
          <w:i w:val="0"/>
          <w:sz w:val="22"/>
        </w:rPr>
        <w:t>(b) Apply a tourniquet tightly</w:t>
      </w:r>
    </w:p>
    <w:p>
      <w:pPr>
        <w:spacing w:after="0" w:before="0"/>
      </w:pPr>
      <w:r>
        <w:rPr>
          <w:b w:val="0"/>
          <w:i w:val="0"/>
          <w:sz w:val="22"/>
        </w:rPr>
        <w:t>(c) Cut and suction the wound</w:t>
      </w:r>
    </w:p>
    <w:p>
      <w:pPr>
        <w:spacing w:after="0" w:before="0"/>
      </w:pPr>
      <w:r>
        <w:rPr>
          <w:b w:val="0"/>
          <w:i w:val="0"/>
          <w:sz w:val="22"/>
        </w:rPr>
        <w:t>(d) Apply ice to the bite site</w:t>
      </w:r>
    </w:p>
    <w:p>
      <w:pPr>
        <w:spacing w:after="0" w:before="40"/>
      </w:pPr>
      <w:r>
        <w:rPr>
          <w:b/>
          <w:i w:val="0"/>
          <w:sz w:val="22"/>
        </w:rPr>
        <w:t>Answer: a</w:t>
      </w:r>
    </w:p>
    <w:p>
      <w:pPr>
        <w:spacing w:after="0" w:before="0"/>
      </w:pPr>
      <w:r>
        <w:rPr>
          <w:b w:val="0"/>
          <w:i w:val="0"/>
          <w:sz w:val="21"/>
        </w:rPr>
        <w:t>Solution: Snake bite management is immobilising the limb at or below heart level, removing constrictive items, and urgent transport for antivenom. Tourniquets, incision and suction, and ice increase tissue injury and are contraindicated.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device prevents pressure injury to the heels?</w:t>
      </w:r>
    </w:p>
    <w:p>
      <w:pPr>
        <w:spacing w:after="0" w:before="0"/>
      </w:pPr>
      <w:r>
        <w:rPr>
          <w:b w:val="0"/>
          <w:i w:val="0"/>
          <w:sz w:val="22"/>
        </w:rPr>
        <w:t>(a) Heel protectors that suspend the heels off the bed</w:t>
      </w:r>
    </w:p>
    <w:p>
      <w:pPr>
        <w:spacing w:after="0" w:before="0"/>
      </w:pPr>
      <w:r>
        <w:rPr>
          <w:b w:val="0"/>
          <w:i w:val="0"/>
          <w:sz w:val="22"/>
        </w:rPr>
        <w:t>(b) Extra pillows under the knees only</w:t>
      </w:r>
    </w:p>
    <w:p>
      <w:pPr>
        <w:spacing w:after="0" w:before="0"/>
      </w:pPr>
      <w:r>
        <w:rPr>
          <w:b w:val="0"/>
          <w:i w:val="0"/>
          <w:sz w:val="22"/>
        </w:rPr>
        <w:t>(c) Tight elastic bandages</w:t>
      </w:r>
    </w:p>
    <w:p>
      <w:pPr>
        <w:spacing w:after="0" w:before="0"/>
      </w:pPr>
      <w:r>
        <w:rPr>
          <w:b w:val="0"/>
          <w:i w:val="0"/>
          <w:sz w:val="22"/>
        </w:rPr>
        <w:t>(d) Sheepskin under the heels</w:t>
      </w:r>
    </w:p>
    <w:p>
      <w:pPr>
        <w:spacing w:after="0" w:before="40"/>
      </w:pPr>
      <w:r>
        <w:rPr>
          <w:b/>
          <w:i w:val="0"/>
          <w:sz w:val="22"/>
        </w:rPr>
        <w:t>Answer: a</w:t>
      </w:r>
    </w:p>
    <w:p>
      <w:pPr>
        <w:spacing w:after="0" w:before="0"/>
      </w:pPr>
      <w:r>
        <w:rPr>
          <w:b w:val="0"/>
          <w:i w:val="0"/>
          <w:sz w:val="21"/>
        </w:rPr>
        <w:t>Solution: Heels are protected by offloading devices such as heel protectors or foam boots that suspend the heels completely off the mattress, since pressure injuries at the heel develop from prolonged contact. Sheepskin and bandages do not relieve pressure.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positioning a client with a trochanter roll?</w:t>
      </w:r>
    </w:p>
    <w:p>
      <w:pPr>
        <w:spacing w:after="0" w:before="0"/>
      </w:pPr>
      <w:r>
        <w:rPr>
          <w:b w:val="0"/>
          <w:i w:val="0"/>
          <w:sz w:val="22"/>
        </w:rPr>
        <w:t>(a) Place the roll against the hip and thigh to prevent external rotation of the leg</w:t>
      </w:r>
    </w:p>
    <w:p>
      <w:pPr>
        <w:spacing w:after="0" w:before="0"/>
      </w:pPr>
      <w:r>
        <w:rPr>
          <w:b w:val="0"/>
          <w:i w:val="0"/>
          <w:sz w:val="22"/>
        </w:rPr>
        <w:t>(b) Place it under the shoulders</w:t>
      </w:r>
    </w:p>
    <w:p>
      <w:pPr>
        <w:spacing w:after="0" w:before="0"/>
      </w:pPr>
      <w:r>
        <w:rPr>
          <w:b w:val="0"/>
          <w:i w:val="0"/>
          <w:sz w:val="22"/>
        </w:rPr>
        <w:t>(c) Use it to elevate the feet</w:t>
      </w:r>
    </w:p>
    <w:p>
      <w:pPr>
        <w:spacing w:after="0" w:before="0"/>
      </w:pPr>
      <w:r>
        <w:rPr>
          <w:b w:val="0"/>
          <w:i w:val="0"/>
          <w:sz w:val="22"/>
        </w:rPr>
        <w:t>(d) Position it behind the neck</w:t>
      </w:r>
    </w:p>
    <w:p>
      <w:pPr>
        <w:spacing w:after="0" w:before="40"/>
      </w:pPr>
      <w:r>
        <w:rPr>
          <w:b/>
          <w:i w:val="0"/>
          <w:sz w:val="22"/>
        </w:rPr>
        <w:t>Answer: a</w:t>
      </w:r>
    </w:p>
    <w:p>
      <w:pPr>
        <w:spacing w:after="0" w:before="0"/>
      </w:pPr>
      <w:r>
        <w:rPr>
          <w:b w:val="0"/>
          <w:i w:val="0"/>
          <w:sz w:val="21"/>
        </w:rPr>
        <w:t>Solution: A trochanter roll is placed along the lateral hip and thigh with the client supine to prevent external rotation of the hip and maintain proper alignment, especially after hip surgery or stroke. It extends from the iliac crest to the mid-thigh.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complication of massive postpartum haemorrhage is associated with pituitary necrosis?</w:t>
      </w:r>
    </w:p>
    <w:p>
      <w:pPr>
        <w:spacing w:after="0" w:before="0"/>
      </w:pPr>
      <w:r>
        <w:rPr>
          <w:b w:val="0"/>
          <w:i w:val="0"/>
          <w:sz w:val="22"/>
        </w:rPr>
        <w:t>(a) Sheehan syndrome</w:t>
      </w:r>
    </w:p>
    <w:p>
      <w:pPr>
        <w:spacing w:after="0" w:before="0"/>
      </w:pPr>
      <w:r>
        <w:rPr>
          <w:b w:val="0"/>
          <w:i w:val="0"/>
          <w:sz w:val="22"/>
        </w:rPr>
        <w:t>(b) Amniotic fluid embolism</w:t>
      </w:r>
    </w:p>
    <w:p>
      <w:pPr>
        <w:spacing w:after="0" w:before="0"/>
      </w:pPr>
      <w:r>
        <w:rPr>
          <w:b w:val="0"/>
          <w:i w:val="0"/>
          <w:sz w:val="22"/>
        </w:rPr>
        <w:t>(c) Uterine inversion</w:t>
      </w:r>
    </w:p>
    <w:p>
      <w:pPr>
        <w:spacing w:after="0" w:before="0"/>
      </w:pPr>
      <w:r>
        <w:rPr>
          <w:b w:val="0"/>
          <w:i w:val="0"/>
          <w:sz w:val="22"/>
        </w:rPr>
        <w:t>(d) Chorioamnionitis</w:t>
      </w:r>
    </w:p>
    <w:p>
      <w:pPr>
        <w:spacing w:after="0" w:before="40"/>
      </w:pPr>
      <w:r>
        <w:rPr>
          <w:b/>
          <w:i w:val="0"/>
          <w:sz w:val="22"/>
        </w:rPr>
        <w:t>Answer: a</w:t>
      </w:r>
    </w:p>
    <w:p>
      <w:pPr>
        <w:spacing w:after="0" w:before="0"/>
      </w:pPr>
      <w:r>
        <w:rPr>
          <w:b w:val="0"/>
          <w:i w:val="0"/>
          <w:sz w:val="21"/>
        </w:rPr>
        <w:t>Solution: Sheehan syndrome is ischaemic necrosis of the anterior pituitary from severe postpartum haemorrhage and hypotension, causing failure of lactation, amenorrhea, and hypothyroidism. Prompt treatment of PPH prevents 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prenatal test samples fetal blood from the umbilical cord under ultrasound guidance?</w:t>
      </w:r>
    </w:p>
    <w:p>
      <w:pPr>
        <w:spacing w:after="0" w:before="0"/>
      </w:pPr>
      <w:r>
        <w:rPr>
          <w:b w:val="0"/>
          <w:i w:val="0"/>
          <w:sz w:val="22"/>
        </w:rPr>
        <w:t>(a) Cordocentesis (percutaneous umbilical blood sampling)</w:t>
      </w:r>
    </w:p>
    <w:p>
      <w:pPr>
        <w:spacing w:after="0" w:before="0"/>
      </w:pPr>
      <w:r>
        <w:rPr>
          <w:b w:val="0"/>
          <w:i w:val="0"/>
          <w:sz w:val="22"/>
        </w:rPr>
        <w:t>(b) Amniocentesis</w:t>
      </w:r>
    </w:p>
    <w:p>
      <w:pPr>
        <w:spacing w:after="0" w:before="0"/>
      </w:pPr>
      <w:r>
        <w:rPr>
          <w:b w:val="0"/>
          <w:i w:val="0"/>
          <w:sz w:val="22"/>
        </w:rPr>
        <w:t>(c) Chorionic villus sampling</w:t>
      </w:r>
    </w:p>
    <w:p>
      <w:pPr>
        <w:spacing w:after="0" w:before="0"/>
      </w:pPr>
      <w:r>
        <w:rPr>
          <w:b w:val="0"/>
          <w:i w:val="0"/>
          <w:sz w:val="22"/>
        </w:rPr>
        <w:t>(d) Nonstress test</w:t>
      </w:r>
    </w:p>
    <w:p>
      <w:pPr>
        <w:spacing w:after="0" w:before="40"/>
      </w:pPr>
      <w:r>
        <w:rPr>
          <w:b/>
          <w:i w:val="0"/>
          <w:sz w:val="22"/>
        </w:rPr>
        <w:t>Answer: a</w:t>
      </w:r>
    </w:p>
    <w:p>
      <w:pPr>
        <w:spacing w:after="0" w:before="0"/>
      </w:pPr>
      <w:r>
        <w:rPr>
          <w:b w:val="0"/>
          <w:i w:val="0"/>
          <w:sz w:val="21"/>
        </w:rPr>
        <w:t>Solution: Cordocentesis samples fetal blood from the umbilical vein for rapid karyotyping, fetal anaemia, infection, or platelet disorders, usually after 18 weeks. It carries a higher risk of fetal loss than amniocentesis or CVS and is reserved for specific indications.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manifestation of methamphetamine intoxication?</w:t>
      </w:r>
    </w:p>
    <w:p>
      <w:pPr>
        <w:spacing w:after="0" w:before="0"/>
      </w:pPr>
      <w:r>
        <w:rPr>
          <w:b w:val="0"/>
          <w:i w:val="0"/>
          <w:sz w:val="22"/>
        </w:rPr>
        <w:t>(a) Agitation, tachycardia, dilated pupils, and paranoia</w:t>
      </w:r>
    </w:p>
    <w:p>
      <w:pPr>
        <w:spacing w:after="0" w:before="0"/>
      </w:pPr>
      <w:r>
        <w:rPr>
          <w:b w:val="0"/>
          <w:i w:val="0"/>
          <w:sz w:val="22"/>
        </w:rPr>
        <w:t>(b) Constricted pupils and bradycardia</w:t>
      </w:r>
    </w:p>
    <w:p>
      <w:pPr>
        <w:spacing w:after="0" w:before="0"/>
      </w:pPr>
      <w:r>
        <w:rPr>
          <w:b w:val="0"/>
          <w:i w:val="0"/>
          <w:sz w:val="22"/>
        </w:rPr>
        <w:t>(c) Respiratory depression</w:t>
      </w:r>
    </w:p>
    <w:p>
      <w:pPr>
        <w:spacing w:after="0" w:before="0"/>
      </w:pPr>
      <w:r>
        <w:rPr>
          <w:b w:val="0"/>
          <w:i w:val="0"/>
          <w:sz w:val="22"/>
        </w:rPr>
        <w:t>(d) Excessive sleepiness</w:t>
      </w:r>
    </w:p>
    <w:p>
      <w:pPr>
        <w:spacing w:after="0" w:before="40"/>
      </w:pPr>
      <w:r>
        <w:rPr>
          <w:b/>
          <w:i w:val="0"/>
          <w:sz w:val="22"/>
        </w:rPr>
        <w:t>Answer: a</w:t>
      </w:r>
    </w:p>
    <w:p>
      <w:pPr>
        <w:spacing w:after="0" w:before="0"/>
      </w:pPr>
      <w:r>
        <w:rPr>
          <w:b w:val="0"/>
          <w:i w:val="0"/>
          <w:sz w:val="21"/>
        </w:rPr>
        <w:t>Solution: Methamphetamine is a potent stimulant causing euphoria, agitation, tachycardia, hypertension, mydriasis, and paranoia; overdose can cause hyperthermia, seizures, and stroke. Constricted pupils and respiratory depression suggest opioid intoxication.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screening tool is used to identify alcohol use disorders?</w:t>
      </w:r>
    </w:p>
    <w:p>
      <w:pPr>
        <w:spacing w:after="0" w:before="0"/>
      </w:pPr>
      <w:r>
        <w:rPr>
          <w:b w:val="0"/>
          <w:i w:val="0"/>
          <w:sz w:val="22"/>
        </w:rPr>
        <w:t>(a) CAGE questionnaire</w:t>
      </w:r>
    </w:p>
    <w:p>
      <w:pPr>
        <w:spacing w:after="0" w:before="0"/>
      </w:pPr>
      <w:r>
        <w:rPr>
          <w:b w:val="0"/>
          <w:i w:val="0"/>
          <w:sz w:val="22"/>
        </w:rPr>
        <w:t>(b) Mini-Mental State Examination</w:t>
      </w:r>
    </w:p>
    <w:p>
      <w:pPr>
        <w:spacing w:after="0" w:before="0"/>
      </w:pPr>
      <w:r>
        <w:rPr>
          <w:b w:val="0"/>
          <w:i w:val="0"/>
          <w:sz w:val="22"/>
        </w:rPr>
        <w:t>(c) Beck Depression Inventory</w:t>
      </w:r>
    </w:p>
    <w:p>
      <w:pPr>
        <w:spacing w:after="0" w:before="0"/>
      </w:pPr>
      <w:r>
        <w:rPr>
          <w:b w:val="0"/>
          <w:i w:val="0"/>
          <w:sz w:val="22"/>
        </w:rPr>
        <w:t>(d) Morse scale</w:t>
      </w:r>
    </w:p>
    <w:p>
      <w:pPr>
        <w:spacing w:after="0" w:before="40"/>
      </w:pPr>
      <w:r>
        <w:rPr>
          <w:b/>
          <w:i w:val="0"/>
          <w:sz w:val="22"/>
        </w:rPr>
        <w:t>Answer: a</w:t>
      </w:r>
    </w:p>
    <w:p>
      <w:pPr>
        <w:spacing w:after="0" w:before="0"/>
      </w:pPr>
      <w:r>
        <w:rPr>
          <w:b w:val="0"/>
          <w:i w:val="0"/>
          <w:sz w:val="21"/>
        </w:rPr>
        <w:t>Solution: The CAGE questionnaire (Cut down, Annoyed, Guilty, Eye-opener) is a brief screen for alcohol use disorders; two or more positive answers warrant further assessment. The MMSE screens cognition, the BDI screens depression, and the Morse scale assesses fall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facility provides supervised, structured living for psychiatric clients transitioning to the community?</w:t>
      </w:r>
    </w:p>
    <w:p>
      <w:pPr>
        <w:spacing w:after="0" w:before="0"/>
      </w:pPr>
      <w:r>
        <w:rPr>
          <w:b w:val="0"/>
          <w:i w:val="0"/>
          <w:sz w:val="22"/>
        </w:rPr>
        <w:t>(a) Halfway house</w:t>
      </w:r>
    </w:p>
    <w:p>
      <w:pPr>
        <w:spacing w:after="0" w:before="0"/>
      </w:pPr>
      <w:r>
        <w:rPr>
          <w:b w:val="0"/>
          <w:i w:val="0"/>
          <w:sz w:val="22"/>
        </w:rPr>
        <w:t>(b) Intensive care unit</w:t>
      </w:r>
    </w:p>
    <w:p>
      <w:pPr>
        <w:spacing w:after="0" w:before="0"/>
      </w:pPr>
      <w:r>
        <w:rPr>
          <w:b w:val="0"/>
          <w:i w:val="0"/>
          <w:sz w:val="22"/>
        </w:rPr>
        <w:t>(c) Day care centre only</w:t>
      </w:r>
    </w:p>
    <w:p>
      <w:pPr>
        <w:spacing w:after="0" w:before="0"/>
      </w:pPr>
      <w:r>
        <w:rPr>
          <w:b w:val="0"/>
          <w:i w:val="0"/>
          <w:sz w:val="22"/>
        </w:rPr>
        <w:t>(d) Nursing home</w:t>
      </w:r>
    </w:p>
    <w:p>
      <w:pPr>
        <w:spacing w:after="0" w:before="40"/>
      </w:pPr>
      <w:r>
        <w:rPr>
          <w:b/>
          <w:i w:val="0"/>
          <w:sz w:val="22"/>
        </w:rPr>
        <w:t>Answer: a</w:t>
      </w:r>
    </w:p>
    <w:p>
      <w:pPr>
        <w:spacing w:after="0" w:before="0"/>
      </w:pPr>
      <w:r>
        <w:rPr>
          <w:b w:val="0"/>
          <w:i w:val="0"/>
          <w:sz w:val="21"/>
        </w:rPr>
        <w:t>Solution: A halfway house is a supervised community residence that supports psychiatric clients in transition from hospital to independent living, providing structure, medication supervision, and rehabilitation. Day care centres provide services during the day but not residence.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defining criterion for childhood obesity?</w:t>
      </w:r>
    </w:p>
    <w:p>
      <w:pPr>
        <w:spacing w:after="0" w:before="0"/>
      </w:pPr>
      <w:r>
        <w:rPr>
          <w:b w:val="0"/>
          <w:i w:val="0"/>
          <w:sz w:val="22"/>
        </w:rPr>
        <w:t>(a) BMI at or above the 95th percentile for age and sex</w:t>
      </w:r>
    </w:p>
    <w:p>
      <w:pPr>
        <w:spacing w:after="0" w:before="0"/>
      </w:pPr>
      <w:r>
        <w:rPr>
          <w:b w:val="0"/>
          <w:i w:val="0"/>
          <w:sz w:val="22"/>
        </w:rPr>
        <w:t>(b) Height below the 3rd percentile</w:t>
      </w:r>
    </w:p>
    <w:p>
      <w:pPr>
        <w:spacing w:after="0" w:before="0"/>
      </w:pPr>
      <w:r>
        <w:rPr>
          <w:b w:val="0"/>
          <w:i w:val="0"/>
          <w:sz w:val="22"/>
        </w:rPr>
        <w:t>(c) Weight loss over months</w:t>
      </w:r>
    </w:p>
    <w:p>
      <w:pPr>
        <w:spacing w:after="0" w:before="0"/>
      </w:pPr>
      <w:r>
        <w:rPr>
          <w:b w:val="0"/>
          <w:i w:val="0"/>
          <w:sz w:val="22"/>
        </w:rPr>
        <w:t>(d) Normal blood pressure</w:t>
      </w:r>
    </w:p>
    <w:p>
      <w:pPr>
        <w:spacing w:after="0" w:before="40"/>
      </w:pPr>
      <w:r>
        <w:rPr>
          <w:b/>
          <w:i w:val="0"/>
          <w:sz w:val="22"/>
        </w:rPr>
        <w:t>Answer: a</w:t>
      </w:r>
    </w:p>
    <w:p>
      <w:pPr>
        <w:spacing w:after="0" w:before="0"/>
      </w:pPr>
      <w:r>
        <w:rPr>
          <w:b w:val="0"/>
          <w:i w:val="0"/>
          <w:sz w:val="21"/>
        </w:rPr>
        <w:t>Solution: Childhood obesity is defined as a BMI at or above the 95th percentile for age and sex, with health risks including type 2 diabetes, hypertension, fatty liver, and psychosocial problems. Management combines diet, activity, and family involvement.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cerebral palsy is characterised by increased muscle tone, scissoring of the legs, and contractures?</w:t>
      </w:r>
    </w:p>
    <w:p>
      <w:pPr>
        <w:spacing w:after="0" w:before="0"/>
      </w:pPr>
      <w:r>
        <w:rPr>
          <w:b w:val="0"/>
          <w:i w:val="0"/>
          <w:sz w:val="22"/>
        </w:rPr>
        <w:t>(a) Spastic cerebral palsy</w:t>
      </w:r>
    </w:p>
    <w:p>
      <w:pPr>
        <w:spacing w:after="0" w:before="0"/>
      </w:pPr>
      <w:r>
        <w:rPr>
          <w:b w:val="0"/>
          <w:i w:val="0"/>
          <w:sz w:val="22"/>
        </w:rPr>
        <w:t>(b) Athetoid cerebral palsy</w:t>
      </w:r>
    </w:p>
    <w:p>
      <w:pPr>
        <w:spacing w:after="0" w:before="0"/>
      </w:pPr>
      <w:r>
        <w:rPr>
          <w:b w:val="0"/>
          <w:i w:val="0"/>
          <w:sz w:val="22"/>
        </w:rPr>
        <w:t>(c) Ataxic cerebral palsy</w:t>
      </w:r>
    </w:p>
    <w:p>
      <w:pPr>
        <w:spacing w:after="0" w:before="0"/>
      </w:pPr>
      <w:r>
        <w:rPr>
          <w:b w:val="0"/>
          <w:i w:val="0"/>
          <w:sz w:val="22"/>
        </w:rPr>
        <w:t>(d) Mixed cerebral palsy</w:t>
      </w:r>
    </w:p>
    <w:p>
      <w:pPr>
        <w:spacing w:after="0" w:before="40"/>
      </w:pPr>
      <w:r>
        <w:rPr>
          <w:b/>
          <w:i w:val="0"/>
          <w:sz w:val="22"/>
        </w:rPr>
        <w:t>Answer: a</w:t>
      </w:r>
    </w:p>
    <w:p>
      <w:pPr>
        <w:spacing w:after="0" w:before="0"/>
      </w:pPr>
      <w:r>
        <w:rPr>
          <w:b w:val="0"/>
          <w:i w:val="0"/>
          <w:sz w:val="21"/>
        </w:rPr>
        <w:t>Solution: Spastic cerebral palsy, the most common type, features hypertonia, exaggerated reflexes, scissoring gait, and contractures from upper motor neuron injury. Athetoid CP has involuntary writhing movements, and ataxic CP has poor balance and coordination.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with intellectual disability has a long narrow face, large prominent ears, macro-orchidism, and hyperactivity. Which condition is most likely?</w:t>
      </w:r>
    </w:p>
    <w:p>
      <w:pPr>
        <w:spacing w:after="0" w:before="0"/>
      </w:pPr>
      <w:r>
        <w:rPr>
          <w:b w:val="0"/>
          <w:i w:val="0"/>
          <w:sz w:val="22"/>
        </w:rPr>
        <w:t>(a) Fragile X syndrome</w:t>
      </w:r>
    </w:p>
    <w:p>
      <w:pPr>
        <w:spacing w:after="0" w:before="0"/>
      </w:pPr>
      <w:r>
        <w:rPr>
          <w:b w:val="0"/>
          <w:i w:val="0"/>
          <w:sz w:val="22"/>
        </w:rPr>
        <w:t>(b) Down syndrome</w:t>
      </w:r>
    </w:p>
    <w:p>
      <w:pPr>
        <w:spacing w:after="0" w:before="0"/>
      </w:pPr>
      <w:r>
        <w:rPr>
          <w:b w:val="0"/>
          <w:i w:val="0"/>
          <w:sz w:val="22"/>
        </w:rPr>
        <w:t>(c) Turner syndrome</w:t>
      </w:r>
    </w:p>
    <w:p>
      <w:pPr>
        <w:spacing w:after="0" w:before="0"/>
      </w:pPr>
      <w:r>
        <w:rPr>
          <w:b w:val="0"/>
          <w:i w:val="0"/>
          <w:sz w:val="22"/>
        </w:rPr>
        <w:t>(d) Klinefelter syndrome</w:t>
      </w:r>
    </w:p>
    <w:p>
      <w:pPr>
        <w:spacing w:after="0" w:before="40"/>
      </w:pPr>
      <w:r>
        <w:rPr>
          <w:b/>
          <w:i w:val="0"/>
          <w:sz w:val="22"/>
        </w:rPr>
        <w:t>Answer: a</w:t>
      </w:r>
    </w:p>
    <w:p>
      <w:pPr>
        <w:spacing w:after="0" w:before="0"/>
      </w:pPr>
      <w:r>
        <w:rPr>
          <w:b w:val="0"/>
          <w:i w:val="0"/>
          <w:sz w:val="21"/>
        </w:rPr>
        <w:t>Solution: Fragile X syndrome is the most common inherited cause of intellectual disability, with a long face, prominent ears, macro-orchidism after puberty, and behavioural features such as hyperactivity and shyness. It is an X-linked disorder caused by FMR1 gene expansion.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charter, adopted in 1986, defined health promotion as enabling people to increase control over their health?</w:t>
      </w:r>
    </w:p>
    <w:p>
      <w:pPr>
        <w:spacing w:after="0" w:before="0"/>
      </w:pPr>
      <w:r>
        <w:rPr>
          <w:b w:val="0"/>
          <w:i w:val="0"/>
          <w:sz w:val="22"/>
        </w:rPr>
        <w:t>(a) Ottawa Charter</w:t>
      </w:r>
    </w:p>
    <w:p>
      <w:pPr>
        <w:spacing w:after="0" w:before="0"/>
      </w:pPr>
      <w:r>
        <w:rPr>
          <w:b w:val="0"/>
          <w:i w:val="0"/>
          <w:sz w:val="22"/>
        </w:rPr>
        <w:t>(b) Alma Ata Declaration</w:t>
      </w:r>
    </w:p>
    <w:p>
      <w:pPr>
        <w:spacing w:after="0" w:before="0"/>
      </w:pPr>
      <w:r>
        <w:rPr>
          <w:b w:val="0"/>
          <w:i w:val="0"/>
          <w:sz w:val="22"/>
        </w:rPr>
        <w:t>(c) Doha Declaration</w:t>
      </w:r>
    </w:p>
    <w:p>
      <w:pPr>
        <w:spacing w:after="0" w:before="0"/>
      </w:pPr>
      <w:r>
        <w:rPr>
          <w:b w:val="0"/>
          <w:i w:val="0"/>
          <w:sz w:val="22"/>
        </w:rPr>
        <w:t>(d) Tokyo Declaration</w:t>
      </w:r>
    </w:p>
    <w:p>
      <w:pPr>
        <w:spacing w:after="0" w:before="40"/>
      </w:pPr>
      <w:r>
        <w:rPr>
          <w:b/>
          <w:i w:val="0"/>
          <w:sz w:val="22"/>
        </w:rPr>
        <w:t>Answer: a</w:t>
      </w:r>
    </w:p>
    <w:p>
      <w:pPr>
        <w:spacing w:after="0" w:before="0"/>
      </w:pPr>
      <w:r>
        <w:rPr>
          <w:b w:val="0"/>
          <w:i w:val="0"/>
          <w:sz w:val="21"/>
        </w:rPr>
        <w:t>Solution: The Ottawa Charter for Health Promotion (1986, WHO) identified five action areas: building healthy public policy, creating supportive environments, strengthening community action, developing personal skills, and reorienting health services. Alma Ata (1978) proclaimed primary health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national scheme provides free nutritious meals to schoolchildren to improve nutrition and school attendance?</w:t>
      </w:r>
    </w:p>
    <w:p>
      <w:pPr>
        <w:spacing w:after="0" w:before="0"/>
      </w:pPr>
      <w:r>
        <w:rPr>
          <w:b w:val="0"/>
          <w:i w:val="0"/>
          <w:sz w:val="22"/>
        </w:rPr>
        <w:t>(a) Mid-Day Meal Scheme</w:t>
      </w:r>
    </w:p>
    <w:p>
      <w:pPr>
        <w:spacing w:after="0" w:before="0"/>
      </w:pPr>
      <w:r>
        <w:rPr>
          <w:b w:val="0"/>
          <w:i w:val="0"/>
          <w:sz w:val="22"/>
        </w:rPr>
        <w:t>(b) Janani Shishu Suraksha Karyakram</w:t>
      </w:r>
    </w:p>
    <w:p>
      <w:pPr>
        <w:spacing w:after="0" w:before="0"/>
      </w:pPr>
      <w:r>
        <w:rPr>
          <w:b w:val="0"/>
          <w:i w:val="0"/>
          <w:sz w:val="22"/>
        </w:rPr>
        <w:t>(c) Mission Indradhanush</w:t>
      </w:r>
    </w:p>
    <w:p>
      <w:pPr>
        <w:spacing w:after="0" w:before="0"/>
      </w:pPr>
      <w:r>
        <w:rPr>
          <w:b w:val="0"/>
          <w:i w:val="0"/>
          <w:sz w:val="22"/>
        </w:rPr>
        <w:t>(d) Rashtriya Kishor Swasthya Karyakram</w:t>
      </w:r>
    </w:p>
    <w:p>
      <w:pPr>
        <w:spacing w:after="0" w:before="40"/>
      </w:pPr>
      <w:r>
        <w:rPr>
          <w:b/>
          <w:i w:val="0"/>
          <w:sz w:val="22"/>
        </w:rPr>
        <w:t>Answer: a</w:t>
      </w:r>
    </w:p>
    <w:p>
      <w:pPr>
        <w:spacing w:after="0" w:before="0"/>
      </w:pPr>
      <w:r>
        <w:rPr>
          <w:b w:val="0"/>
          <w:i w:val="0"/>
          <w:sz w:val="21"/>
        </w:rPr>
        <w:t>Solution: The Mid-Day Meal Scheme provides free cooked meals to children in government schools, improving nutrition, reducing classroom hunger, and increasing enrolment and attendance. JSSK covers free maternal and newborn care, Mission Indradhanush immunisation, and RKSK adolescent health.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scheme guarantees free institutional delivery and free care for sick newborns in government facilities?</w:t>
      </w:r>
    </w:p>
    <w:p>
      <w:pPr>
        <w:spacing w:after="0" w:before="0"/>
      </w:pPr>
      <w:r>
        <w:rPr>
          <w:b w:val="0"/>
          <w:i w:val="0"/>
          <w:sz w:val="22"/>
        </w:rPr>
        <w:t>(a) Janani Shishu Suraksha Karyakram (JSSK)</w:t>
      </w:r>
    </w:p>
    <w:p>
      <w:pPr>
        <w:spacing w:after="0" w:before="0"/>
      </w:pPr>
      <w:r>
        <w:rPr>
          <w:b w:val="0"/>
          <w:i w:val="0"/>
          <w:sz w:val="22"/>
        </w:rPr>
        <w:t>(b) Janani Suraksha Yojana (JSY)</w:t>
      </w:r>
    </w:p>
    <w:p>
      <w:pPr>
        <w:spacing w:after="0" w:before="0"/>
      </w:pPr>
      <w:r>
        <w:rPr>
          <w:b w:val="0"/>
          <w:i w:val="0"/>
          <w:sz w:val="22"/>
        </w:rPr>
        <w:t>(c) National Deworming Day</w:t>
      </w:r>
    </w:p>
    <w:p>
      <w:pPr>
        <w:spacing w:after="0" w:before="0"/>
      </w:pPr>
      <w:r>
        <w:rPr>
          <w:b w:val="0"/>
          <w:i w:val="0"/>
          <w:sz w:val="22"/>
        </w:rPr>
        <w:t>(d) Pulse Polio Programme</w:t>
      </w:r>
    </w:p>
    <w:p>
      <w:pPr>
        <w:spacing w:after="0" w:before="40"/>
      </w:pPr>
      <w:r>
        <w:rPr>
          <w:b/>
          <w:i w:val="0"/>
          <w:sz w:val="22"/>
        </w:rPr>
        <w:t>Answer: a</w:t>
      </w:r>
    </w:p>
    <w:p>
      <w:pPr>
        <w:spacing w:after="0" w:before="0"/>
      </w:pPr>
      <w:r>
        <w:rPr>
          <w:b w:val="0"/>
          <w:i w:val="0"/>
          <w:sz w:val="21"/>
        </w:rPr>
        <w:t>Solution: JSSK entitles every pregnant woman to free delivery, caesarean, medicines, and transport in government hospitals, and every sick newborn to free care up to 1 year of age. JSY is a conditional cash transfer for institutional delivery, which differs from free-care entitlement.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asks the client to explain the teaching in the client's own words to confirm understanding. Which technique is this?</w:t>
      </w:r>
    </w:p>
    <w:p>
      <w:pPr>
        <w:spacing w:after="0" w:before="0"/>
      </w:pPr>
      <w:r>
        <w:rPr>
          <w:b w:val="0"/>
          <w:i w:val="0"/>
          <w:sz w:val="22"/>
        </w:rPr>
        <w:t>(a) Teach-back method</w:t>
      </w:r>
    </w:p>
    <w:p>
      <w:pPr>
        <w:spacing w:after="0" w:before="0"/>
      </w:pPr>
      <w:r>
        <w:rPr>
          <w:b w:val="0"/>
          <w:i w:val="0"/>
          <w:sz w:val="22"/>
        </w:rPr>
        <w:t>(b) Lecture method</w:t>
      </w:r>
    </w:p>
    <w:p>
      <w:pPr>
        <w:spacing w:after="0" w:before="0"/>
      </w:pPr>
      <w:r>
        <w:rPr>
          <w:b w:val="0"/>
          <w:i w:val="0"/>
          <w:sz w:val="22"/>
        </w:rPr>
        <w:t>(c) Demonstration</w:t>
      </w:r>
    </w:p>
    <w:p>
      <w:pPr>
        <w:spacing w:after="0" w:before="0"/>
      </w:pPr>
      <w:r>
        <w:rPr>
          <w:b w:val="0"/>
          <w:i w:val="0"/>
          <w:sz w:val="22"/>
        </w:rPr>
        <w:t>(d) Programmed instruction</w:t>
      </w:r>
    </w:p>
    <w:p>
      <w:pPr>
        <w:spacing w:after="0" w:before="40"/>
      </w:pPr>
      <w:r>
        <w:rPr>
          <w:b/>
          <w:i w:val="0"/>
          <w:sz w:val="22"/>
        </w:rPr>
        <w:t>Answer: a</w:t>
      </w:r>
    </w:p>
    <w:p>
      <w:pPr>
        <w:spacing w:after="0" w:before="0"/>
      </w:pPr>
      <w:r>
        <w:rPr>
          <w:b w:val="0"/>
          <w:i w:val="0"/>
          <w:sz w:val="21"/>
        </w:rPr>
        <w:t>Solution: Teach-back asks learners to restate information in their own words, verifying understanding and clarifying misconceptions; it is an evidence-based technique for improving comprehension and adherence. Demonstration involves performing a skill, and the lecture is a one-way presentation.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law protects a nurse from liability when providing emergency care at the scene of an accident?</w:t>
      </w:r>
    </w:p>
    <w:p>
      <w:pPr>
        <w:spacing w:after="0" w:before="0"/>
      </w:pPr>
      <w:r>
        <w:rPr>
          <w:b w:val="0"/>
          <w:i w:val="0"/>
          <w:sz w:val="22"/>
        </w:rPr>
        <w:t>(a) Good Samaritan law</w:t>
      </w:r>
    </w:p>
    <w:p>
      <w:pPr>
        <w:spacing w:after="0" w:before="0"/>
      </w:pPr>
      <w:r>
        <w:rPr>
          <w:b w:val="0"/>
          <w:i w:val="0"/>
          <w:sz w:val="22"/>
        </w:rPr>
        <w:t>(b) Nurse Practice Act</w:t>
      </w:r>
    </w:p>
    <w:p>
      <w:pPr>
        <w:spacing w:after="0" w:before="0"/>
      </w:pPr>
      <w:r>
        <w:rPr>
          <w:b w:val="0"/>
          <w:i w:val="0"/>
          <w:sz w:val="22"/>
        </w:rPr>
        <w:t>(c) Mental Healthcare Act</w:t>
      </w:r>
    </w:p>
    <w:p>
      <w:pPr>
        <w:spacing w:after="0" w:before="0"/>
      </w:pPr>
      <w:r>
        <w:rPr>
          <w:b w:val="0"/>
          <w:i w:val="0"/>
          <w:sz w:val="22"/>
        </w:rPr>
        <w:t>(d) Consumer Protection Act</w:t>
      </w:r>
    </w:p>
    <w:p>
      <w:pPr>
        <w:spacing w:after="0" w:before="40"/>
      </w:pPr>
      <w:r>
        <w:rPr>
          <w:b/>
          <w:i w:val="0"/>
          <w:sz w:val="22"/>
        </w:rPr>
        <w:t>Answer: a</w:t>
      </w:r>
    </w:p>
    <w:p>
      <w:pPr>
        <w:spacing w:after="0" w:before="0"/>
      </w:pPr>
      <w:r>
        <w:rPr>
          <w:b w:val="0"/>
          <w:i w:val="0"/>
          <w:sz w:val="21"/>
        </w:rPr>
        <w:t>Solution: Good Samaritan laws shield individuals, including nurses, from civil liability when they provide reasonable emergency care in good faith at the scene of an accident. The Nurse Practice Act defines scope of practice, not emergency immunity.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prolonged starvation, which substances are produced in the liver as an alternative fuel for the brain?</w:t>
      </w:r>
    </w:p>
    <w:p>
      <w:pPr>
        <w:spacing w:after="0" w:before="0"/>
      </w:pPr>
      <w:r>
        <w:rPr>
          <w:b w:val="0"/>
          <w:i w:val="0"/>
          <w:sz w:val="22"/>
        </w:rPr>
        <w:t>(a) Ketone bodies</w:t>
      </w:r>
    </w:p>
    <w:p>
      <w:pPr>
        <w:spacing w:after="0" w:before="0"/>
      </w:pPr>
      <w:r>
        <w:rPr>
          <w:b w:val="0"/>
          <w:i w:val="0"/>
          <w:sz w:val="22"/>
        </w:rPr>
        <w:t>(b) Uric acid</w:t>
      </w:r>
    </w:p>
    <w:p>
      <w:pPr>
        <w:spacing w:after="0" w:before="0"/>
      </w:pPr>
      <w:r>
        <w:rPr>
          <w:b w:val="0"/>
          <w:i w:val="0"/>
          <w:sz w:val="22"/>
        </w:rPr>
        <w:t>(c) Ammonia</w:t>
      </w:r>
    </w:p>
    <w:p>
      <w:pPr>
        <w:spacing w:after="0" w:before="0"/>
      </w:pPr>
      <w:r>
        <w:rPr>
          <w:b w:val="0"/>
          <w:i w:val="0"/>
          <w:sz w:val="22"/>
        </w:rPr>
        <w:t>(d) Glucagon</w:t>
      </w:r>
    </w:p>
    <w:p>
      <w:pPr>
        <w:spacing w:after="0" w:before="40"/>
      </w:pPr>
      <w:r>
        <w:rPr>
          <w:b/>
          <w:i w:val="0"/>
          <w:sz w:val="22"/>
        </w:rPr>
        <w:t>Answer: a</w:t>
      </w:r>
    </w:p>
    <w:p>
      <w:pPr>
        <w:spacing w:after="0" w:before="0"/>
      </w:pPr>
      <w:r>
        <w:rPr>
          <w:b w:val="0"/>
          <w:i w:val="0"/>
          <w:sz w:val="21"/>
        </w:rPr>
        <w:t>Solution: In starvation or uncontrolled diabetes, the liver oxidises fatty acids to produce ketone bodies (acetoacetate, beta-hydroxybutyrate, acetone), which the brain uses as an alternative fuel. Excessive ketone production causes metabolic acidosis and ketonuria.</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