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range of serum chloride is</w:t>
      </w:r>
    </w:p>
    <w:p>
      <w:r>
        <w:t xml:space="preserve">(a) 98-106 mEq/L</w:t>
      </w:r>
    </w:p>
    <w:p>
      <w:r>
        <w:t xml:space="preserve">(b) 3.5-5.0 mEq/L</w:t>
      </w:r>
    </w:p>
    <w:p>
      <w:r>
        <w:t xml:space="preserve">(c) 135-145 mEq/L</w:t>
      </w:r>
    </w:p>
    <w:p>
      <w:r>
        <w:t xml:space="preserve">(d) 200-300 mEq/L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Normal serum chloride is 98–106 mEq/L. Chloride is the major extracellular anion; it follows sodium passively and shifts with acid-base balance (hyperchloremia in metabolic acidosis, hypochloremia in metabolic alkalosis).</w:t>
      </w:r>
    </w:p>
    <w:p>
      <w:r>
        <w:t xml:space="preserve">❌ Why Not Other Options?</w:t>
      </w:r>
    </w:p>
    <w:p>
      <w:r>
        <w:t xml:space="preserve">(b) — 3.5–5.0 mEq/L is the potassium range.</w:t>
      </w:r>
    </w:p>
    <w:p>
      <w:r>
        <w:t xml:space="preserve">(c) — 135–145 mEq/L is the sodium range.</w:t>
      </w:r>
    </w:p>
    <w:p>
      <w:r>
        <w:t xml:space="preserve">(d) — 200–300 mEq/L is far above any electrolyte value.</w:t>
      </w:r>
    </w:p>
    <w:p>
      <w:r>
        <w:t xml:space="preserve">⚠️ Exam Trap: The electrolyte number cluster is a favorite: Na⁺ 135–145, K⁺ 3.5–5.0, Cl⁻ 98–106, Ca²⁺ 8.5–10.5, HCO₃⁻ 22–28. Memorize them as one group.</w:t>
      </w:r>
    </w:p>
    <w:p>
      <w:r>
        <w:t xml:space="preserve">💎 PNC Pearl: "Chloride 98–106 — sodium's shadow in the blood."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drank 200 mL of water, 150 mL of tea and 100 mL of juice. The total oral intake is</w:t>
      </w:r>
    </w:p>
    <w:p>
      <w:r>
        <w:t xml:space="preserve">(a) 450 mL</w:t>
      </w:r>
    </w:p>
    <w:p>
      <w:r>
        <w:t xml:space="preserve">(b) 350 mL</w:t>
      </w:r>
    </w:p>
    <w:p>
      <w:r>
        <w:t xml:space="preserve">(c) 550 mL</w:t>
      </w:r>
    </w:p>
    <w:p>
      <w:r>
        <w:t xml:space="preserve">(d) 250 mL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Total oral intake = 200 + 150 + 100 = 450 mL. All fluids — water, tea, juice, and even semi-solids like soup — are recorded on the intake-output chart.</w:t>
      </w:r>
    </w:p>
    <w:p>
      <w:r>
        <w:t xml:space="preserve">❌ Why Not Other Options?</w:t>
      </w:r>
    </w:p>
    <w:p>
      <w:r>
        <w:t xml:space="preserve">(b) — 350 mL results from adding only 200 + 150.</w:t>
      </w:r>
    </w:p>
    <w:p>
      <w:r>
        <w:t xml:space="preserve">(c) — 550 mL comes from adding an extra 100 mL (double-counting juice).</w:t>
      </w:r>
    </w:p>
    <w:p>
      <w:r>
        <w:t xml:space="preserve">(d) — 250 mL ignores the tea and juice.</w:t>
      </w:r>
    </w:p>
    <w:p>
      <w:r>
        <w:t xml:space="preserve">⚠️ Exam Trap: Simple addition is the trap — read carefully and add every item mentioned. I-O charting: intake = all oral fluids + IV fluids + feeds; output = urine, stool, vomitus, drainage, perspiration.</w:t>
      </w:r>
    </w:p>
    <w:p>
      <w:r>
        <w:t xml:space="preserve">💎 PNC Pearl: "Every sip counts — add them all before you chart."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"thyroid storm" (crisis) is characterized by</w:t>
      </w:r>
    </w:p>
    <w:p>
      <w:r>
        <w:t xml:space="preserve">(a) High fever, tachycardia, agitation and delirium</w:t>
      </w:r>
    </w:p>
    <w:p>
      <w:r>
        <w:t xml:space="preserve">(b) Bradycardia and hypothermia</w:t>
      </w:r>
    </w:p>
    <w:p>
      <w:r>
        <w:t xml:space="preserve">(c) Weight gain and constipation</w:t>
      </w:r>
    </w:p>
    <w:p>
      <w:r>
        <w:t xml:space="preserve">(d) Hypoglycemia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Thyroid storm is an extreme, life-threatening surge of thyroid hormones (often triggered by infection, surgery, or stopping antithyroid drugs). It presents with hyperpyrexia (high fever), severe tachycardia/arrhythmia, agitation, and delirium, progressing to shock and coma.</w:t>
      </w:r>
    </w:p>
    <w:p>
      <w:r>
        <w:t xml:space="preserve">❌ Why Not Other Options?</w:t>
      </w:r>
    </w:p>
    <w:p>
      <w:r>
        <w:t xml:space="preserve">(b) — Bradycardia and hypothermia describe hypothyroidism (myxedema coma), the opposite pole.</w:t>
      </w:r>
    </w:p>
    <w:p>
      <w:r>
        <w:t xml:space="preserve">(c) — Weight gain and constipation are hypothyroid symptoms.</w:t>
      </w:r>
    </w:p>
    <w:p>
      <w:r>
        <w:t xml:space="preserve">(d) — Hypoglycemia is not a feature of thyroid storm; glucose may even rise.</w:t>
      </w:r>
    </w:p>
    <w:p>
      <w:r>
        <w:t xml:space="preserve">⚠️ Exam Trap: Contrast the poles: hyperthyroid storm = hot, fast, agitated (fever + tachycardia + delirium); myxedema coma = cold, slow, depressed. Management: PTU, beta-blockers, iodine, cooling.</w:t>
      </w:r>
    </w:p>
    <w:p>
      <w:r>
        <w:t xml:space="preserve">💎 PNC Pearl: "Thyroid storm: hot and racing — fever, flutter, frenzy."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and favorable fetal position at delivery is</w:t>
      </w:r>
    </w:p>
    <w:p>
      <w:r>
        <w:t xml:space="preserve">(a) Left occipito-anterior (LOA)</w:t>
      </w:r>
    </w:p>
    <w:p>
      <w:r>
        <w:t xml:space="preserve">(b) Right occipito-posterior</w:t>
      </w:r>
    </w:p>
    <w:p>
      <w:r>
        <w:t xml:space="preserve">(c) Face presentation</w:t>
      </w:r>
    </w:p>
    <w:p>
      <w:r>
        <w:t xml:space="preserve">(d) Brow presentation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LOA — the fetal occiput directed to the mother's left anterior — is the most common (about 50–60%) and most favorable position. The occipito-anterior attitude lets the smallest head diameter (suboccipitobregmatic) engage, favoring normal labor.</w:t>
      </w:r>
    </w:p>
    <w:p>
      <w:r>
        <w:t xml:space="preserve">❌ Why Not Other Options?</w:t>
      </w:r>
    </w:p>
    <w:p>
      <w:r>
        <w:t xml:space="preserve">(b) — Occipito-posterior positions often cause prolonged labor and back pain ("back labor").</w:t>
      </w:r>
    </w:p>
    <w:p>
      <w:r>
        <w:t xml:space="preserve">(c) — Face presentation (mentum) can deliver vaginally if mento-anterior but has higher risk of arrest.</w:t>
      </w:r>
    </w:p>
    <w:p>
      <w:r>
        <w:t xml:space="preserve">(d) — Brow presentation is usually non-engaging and often requires cesarean.</w:t>
      </w:r>
    </w:p>
    <w:p>
      <w:r>
        <w:t xml:space="preserve">⚠️ Exam Trap: "LOA = best position; occiput anterior is favorable; mentum/brow = malpresentations." Occiput is the key landmark — feel it to diagnose.</w:t>
      </w:r>
    </w:p>
    <w:p>
      <w:r>
        <w:t xml:space="preserve">💎 PNC Pearl: "Occiput left and front — the baby's best entry angle."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Newborn screening for congenital hypothyroidism is performed by</w:t>
      </w:r>
    </w:p>
    <w:p>
      <w:r>
        <w:t xml:space="preserve">(a) TSH estimation on heel-prick blood</w:t>
      </w:r>
    </w:p>
    <w:p>
      <w:r>
        <w:t xml:space="preserve">(b) Chest X-ray</w:t>
      </w:r>
    </w:p>
    <w:p>
      <w:r>
        <w:t xml:space="preserve">(c) Electrocardiogram</w:t>
      </w:r>
    </w:p>
    <w:p>
      <w:r>
        <w:t xml:space="preserve">(d) Urine sugar test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National newborn screening programs test heel-prick blood spots for TSH (and T4) at 48 hours to 7 days of age. Early detection allows levothyroxine treatment before irreversible brain damage (cretinism/mental retardation) develops.</w:t>
      </w:r>
    </w:p>
    <w:p>
      <w:r>
        <w:t xml:space="preserve">❌ Why Not Other Options?</w:t>
      </w:r>
    </w:p>
    <w:p>
      <w:r>
        <w:t xml:space="preserve">(b) — Chest X-ray is not a screening test for thyroid function.</w:t>
      </w:r>
    </w:p>
    <w:p>
      <w:r>
        <w:t xml:space="preserve">(c) — ECG assesses heart rhythm, not thyroid status.</w:t>
      </w:r>
    </w:p>
    <w:p>
      <w:r>
        <w:t xml:space="preserve">(d) — Urine sugar screens for glycosuria, unrelated to hypothyroidism.</w:t>
      </w:r>
    </w:p>
    <w:p>
      <w:r>
        <w:t xml:space="preserve">⚠️ Exam Trap: "Congenital hypothyroidism = screen with heel-prick TSH; treat with levothyroxine within first 2 weeks of life." Untreated = cretinism with intellectual disability and short stature.</w:t>
      </w:r>
    </w:p>
    <w:p>
      <w:r>
        <w:t xml:space="preserve">💎 PNC Pearl: "A heel prick at birth catches the silent thyroid before it steals the mind."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best nursing approach for a withdrawn patient with schizophrenia is to</w:t>
      </w:r>
    </w:p>
    <w:p>
      <w:r>
        <w:t xml:space="preserve">(a) Interact in short, frequent, structured sessions</w:t>
      </w:r>
    </w:p>
    <w:p>
      <w:r>
        <w:t xml:space="preserve">(b) Avoid all contact</w:t>
      </w:r>
    </w:p>
    <w:p>
      <w:r>
        <w:t xml:space="preserve">(c) Give long lectures</w:t>
      </w:r>
    </w:p>
    <w:p>
      <w:r>
        <w:t xml:space="preserve">(d) Shout to get attention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Withdrawn patients need gradual trust-building: short, frequent, consistent, low-demand interactions (sitting nearby, simple statements) reduce anxiety without overwhelming them. Consistency of staff and predictability build a therapeutic relationship.</w:t>
      </w:r>
    </w:p>
    <w:p>
      <w:r>
        <w:t xml:space="preserve">❌ Why Not Other Options?</w:t>
      </w:r>
    </w:p>
    <w:p>
      <w:r>
        <w:t xml:space="preserve">(b) — Avoiding contact reinforces isolation and withdrawal.</w:t>
      </w:r>
    </w:p>
    <w:p>
      <w:r>
        <w:t xml:space="preserve">(c) — Long lectures overwhelm and push the patient further away.</w:t>
      </w:r>
    </w:p>
    <w:p>
      <w:r>
        <w:t xml:space="preserve">(d) — Shouting is threatening and destroys trust; the nurse must model calm communication.</w:t>
      </w:r>
    </w:p>
    <w:p>
      <w:r>
        <w:t xml:space="preserve">⚠️ Exam Trap: Withdrawal management: start with non-verbal presence (sit silently), progress to simple concrete statements, use short sentences, and be consistent — never force conversation.</w:t>
      </w:r>
    </w:p>
    <w:p>
      <w:r>
        <w:t xml:space="preserve">💎 PNC Pearl: "Withdrawn patients open slowly — small, steady, silent presence wins."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Under the national schedule, the first dose of vitamin A is given along with which vaccine?</w:t>
      </w:r>
    </w:p>
    <w:p>
      <w:r>
        <w:t xml:space="preserve">(a) Measles-rubella at 9 months</w:t>
      </w:r>
    </w:p>
    <w:p>
      <w:r>
        <w:t xml:space="preserve">(b) BCG at birth</w:t>
      </w:r>
    </w:p>
    <w:p>
      <w:r>
        <w:t xml:space="preserve">(c) DPT at 6 weeks</w:t>
      </w:r>
    </w:p>
    <w:p>
      <w:r>
        <w:t xml:space="preserve">(d) JE at 2 years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Under India's UIP, the first vitamin A dose (1 lakh IU) is given at 9 months along with the measles-rubella (MR) vaccine, then 2 lakh IU every 6 months up to age 5 (total 9 doses). This prevents vitamin A deficiency and xerophthalmia.</w:t>
      </w:r>
    </w:p>
    <w:p>
      <w:r>
        <w:t xml:space="preserve">❌ Why Not Other Options?</w:t>
      </w:r>
    </w:p>
    <w:p>
      <w:r>
        <w:t xml:space="preserve">(b) — BCG is given at birth with OPV-0 and Hep-B; no vitamin A then.</w:t>
      </w:r>
    </w:p>
    <w:p>
      <w:r>
        <w:t xml:space="preserve">(c) — DPT at 6 weeks is an immunization-only visit.</w:t>
      </w:r>
    </w:p>
    <w:p>
      <w:r>
        <w:t xml:space="preserve">(d) — JE vaccine at 9 months in endemic districts is not the vitamin A anchor.</w:t>
      </w:r>
    </w:p>
    <w:p>
      <w:r>
        <w:t xml:space="preserve">⚠️ Exam Trap: "Vitamin A: first dose with MR at 9 months; 1 lakh IU first dose, 2 lakh IU subsequently, every 6 months to 5 years." Also know the UIP vaccination schedule in order.</w:t>
      </w:r>
    </w:p>
    <w:p>
      <w:r>
        <w:t xml:space="preserve">💎 PNC Pearl: "Nine months: MR shot plus vitamin A — one visit, double protection."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therapeutic serum range of digoxin is approximately</w:t>
      </w:r>
    </w:p>
    <w:p>
      <w:r>
        <w:t xml:space="preserve">(a) 0.8-2.0 ng/mL</w:t>
      </w:r>
    </w:p>
    <w:p>
      <w:r>
        <w:t xml:space="preserve">(b) 10-20 ng/mL</w:t>
      </w:r>
    </w:p>
    <w:p>
      <w:r>
        <w:t xml:space="preserve">(c) 100-200 ng/mL</w:t>
      </w:r>
    </w:p>
    <w:p>
      <w:r>
        <w:t xml:space="preserve">(d) 500-1000 ng/mL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Therapeutic digoxin levels are 0.8–2.0 ng/mL. Toxicity occurs above ~2 ng/mL, presenting with nausea, anorexia, visual halos (yellow-green), bradycardia, and arrhythmias. Hypokalemia potentiates toxicity.</w:t>
      </w:r>
    </w:p>
    <w:p>
      <w:r>
        <w:t xml:space="preserve">❌ Why Not Other Options?</w:t>
      </w:r>
    </w:p>
    <w:p>
      <w:r>
        <w:t xml:space="preserve">(b) — 10–20 ng/mL is in the phenytoin range (10–20 µg/mL), not digoxin.</w:t>
      </w:r>
    </w:p>
    <w:p>
      <w:r>
        <w:t xml:space="preserve">(c) — 100–200 ng/mL is far into lethal territory.</w:t>
      </w:r>
    </w:p>
    <w:p>
      <w:r>
        <w:t xml:space="preserve">(d) — 500–1000 ng/mL is absurdly high and would be fatal.</w:t>
      </w:r>
    </w:p>
    <w:p>
      <w:r>
        <w:t xml:space="preserve">⚠️ Exam Trap: Know the digoxin toxicity triad: GI (nausea), visual (halos), cardiac (arrhythmias). Antidote = digoxin immune Fab (Digibind). Always check potassium with digoxin.</w:t>
      </w:r>
    </w:p>
    <w:p>
      <w:r>
        <w:t xml:space="preserve">💎 PNC Pearl: "Digoxin 0.8–2.0 — above 2, expect halos and nausea."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During cardiac arrest in an adult, the pulse is best checked at the</w:t>
      </w:r>
    </w:p>
    <w:p>
      <w:r>
        <w:t xml:space="preserve">(a) Carotid artery</w:t>
      </w:r>
    </w:p>
    <w:p>
      <w:r>
        <w:t xml:space="preserve">(b) Radial artery only</w:t>
      </w:r>
    </w:p>
    <w:p>
      <w:r>
        <w:t xml:space="preserve">(c) Dorsalis pedis artery</w:t>
      </w:r>
    </w:p>
    <w:p>
      <w:r>
        <w:t xml:space="preserve">(d) Brachial artery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BLS/ACLS guidelines recommend checking the carotid pulse (for no more than 10 seconds) in adult cardiac arrest — the carotid is large, central, and closest to the heart, giving the most reliable assessment of circulation. In infants, the brachial artery is used.</w:t>
      </w:r>
    </w:p>
    <w:p>
      <w:r>
        <w:t xml:space="preserve">❌ Why Not Other Options?</w:t>
      </w:r>
    </w:p>
    <w:p>
      <w:r>
        <w:t xml:space="preserve">(b) — The radial pulse is peripheral and may be absent even with a perfusing rhythm.</w:t>
      </w:r>
    </w:p>
    <w:p>
      <w:r>
        <w:t xml:space="preserve">(c) — The dorsalis pedis is a distal foot pulse, too weak for arrest assessment.</w:t>
      </w:r>
    </w:p>
    <w:p>
      <w:r>
        <w:t xml:space="preserve">(d) — The brachial is used for infants and children, not adults.</w:t>
      </w:r>
    </w:p>
    <w:p>
      <w:r>
        <w:t xml:space="preserve">⚠️ Exam Trap: "Adult = carotid, infant = brachial." Also: compression depth 5–6 cm adult, rate 100–120/min, ratio 30:2, and AED as soon as available.</w:t>
      </w:r>
    </w:p>
    <w:p>
      <w:r>
        <w:t xml:space="preserve">💎 PNC Pearl: "Carotid for grown-ups, brachial for babies — feel where the blood is biggest."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Helicobacter pylori infection is strongly associated with</w:t>
      </w:r>
    </w:p>
    <w:p>
      <w:r>
        <w:t xml:space="preserve">(a) Peptic ulcer disease</w:t>
      </w:r>
    </w:p>
    <w:p>
      <w:r>
        <w:t xml:space="preserve">(b) Asthma</w:t>
      </w:r>
    </w:p>
    <w:p>
      <w:r>
        <w:t xml:space="preserve">(c) Diabetes mellitus</w:t>
      </w:r>
    </w:p>
    <w:p>
      <w:r>
        <w:t xml:space="preserve">(d) Cataract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H. pylori colonizes the gastric mucosa, causing chronic gastritis and predisposing to gastric and duodenal ulcers, gastric cancer, and MALT lymphoma. It is the leading infectious cause of peptic ulcer disease.</w:t>
      </w:r>
    </w:p>
    <w:p>
      <w:r>
        <w:t xml:space="preserve">❌ Why Not Other Options?</w:t>
      </w:r>
    </w:p>
    <w:p>
      <w:r>
        <w:t xml:space="preserve">(b) — Asthma is inflammatory airway disease, unrelated to gastric infection.</w:t>
      </w:r>
    </w:p>
    <w:p>
      <w:r>
        <w:t xml:space="preserve">(c) — Diabetes is a metabolic disorder, not H. pylori related.</w:t>
      </w:r>
    </w:p>
    <w:p>
      <w:r>
        <w:t xml:space="preserve">(d) — Cataracts relate to age, UV exposure, and diabetes, not H. pylori.</w:t>
      </w:r>
    </w:p>
    <w:p>
      <w:r>
        <w:t xml:space="preserve">⚠️ Exam Trap: H. pylori testing: urea breath test, stool antigen, endoscopic biopsy; treatment = triple therapy (PPI + amoxicillin + clarithromycin/metronidazole) for 14 days.</w:t>
      </w:r>
    </w:p>
    <w:p>
      <w:r>
        <w:t xml:space="preserve">💎 PNC Pearl: "Ulcer in the stomach? Hunt the H. pylori bug."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Morphine is given to a patient with acute myocardial infarction to</w:t>
      </w:r>
    </w:p>
    <w:p>
      <w:r>
        <w:t xml:space="preserve">(a) Relieve pain and reduce cardiac workload</w:t>
      </w:r>
    </w:p>
    <w:p>
      <w:r>
        <w:t xml:space="preserve">(b) Sedate the patient for sleep</w:t>
      </w:r>
    </w:p>
    <w:p>
      <w:r>
        <w:t xml:space="preserve">(c) Increase blood pressure</w:t>
      </w:r>
    </w:p>
    <w:p>
      <w:r>
        <w:t xml:space="preserve">(d) Promote diuresis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In acute MI, morphine relieves severe ischemic chest pain and anxiety, and causes venodilation that reduces preload — lowering the heart's oxygen demand (cardiac workload). It is given in small IV increments (2–4 mg) with monitoring.</w:t>
      </w:r>
    </w:p>
    <w:p>
      <w:r>
        <w:t xml:space="preserve">❌ Why Not Other Options?</w:t>
      </w:r>
    </w:p>
    <w:p>
      <w:r>
        <w:t xml:space="preserve">(b) — Sedation is a side effect, not the therapeutic purpose in MI.</w:t>
      </w:r>
    </w:p>
    <w:p>
      <w:r>
        <w:t xml:space="preserve">(c) — Morphine may LOWER blood pressure (vasodilation), not raise it.</w:t>
      </w:r>
    </w:p>
    <w:p>
      <w:r>
        <w:t xml:space="preserve">(d) — Morphine is not a diuretic; furosemide serves that role.</w:t>
      </w:r>
    </w:p>
    <w:p>
      <w:r>
        <w:t xml:space="preserve">⚠️ Exam Trap: MI management "MONA" mnemonic: Morphine, Oxygen, Nitroglycerin, Aspirin. Know morphine's dual benefit: pain relief + preload reduction.</w:t>
      </w:r>
    </w:p>
    <w:p>
      <w:r>
        <w:t xml:space="preserve">💎 PNC Pearl: "MONA for the heart attack: Morphine, Oxygen, Nitro, Aspirin."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COPD who develops confusion, headache and drowsiness may be experiencing</w:t>
      </w:r>
    </w:p>
    <w:p>
      <w:r>
        <w:t xml:space="preserve">(a) Carbon dioxide narcosis (hypercapnia)</w:t>
      </w:r>
    </w:p>
    <w:p>
      <w:r>
        <w:t xml:space="preserve">(b) Hypoglycemia</w:t>
      </w:r>
    </w:p>
    <w:p>
      <w:r>
        <w:t xml:space="preserve">(c) Dehydration</w:t>
      </w:r>
    </w:p>
    <w:p>
      <w:r>
        <w:t xml:space="preserve">(d) Iron deficiency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In advanced COPD, the respiratory drive fails and CO₂ accumulates (hypercapnia). Rising CO₂ depresses the CNS — causing headache, confusion, drowsiness, and eventually coma (CO₂ narcosis). This is a medical emergency signaling ventilatory failure.</w:t>
      </w:r>
    </w:p>
    <w:p>
      <w:r>
        <w:t xml:space="preserve">❌ Why Not Other Options?</w:t>
      </w:r>
    </w:p>
    <w:p>
      <w:r>
        <w:t xml:space="preserve">(b) — Hypoglycemia causes sweating, tremors, and hunger along with confusion — no headache pattern.</w:t>
      </w:r>
    </w:p>
    <w:p>
      <w:r>
        <w:t xml:space="preserve">(c) — Dehydration causes thirst, dry mucosa, and reduced urine output.</w:t>
      </w:r>
    </w:p>
    <w:p>
      <w:r>
        <w:t xml:space="preserve">(d) — Iron deficiency causes fatigue and pallor, not acute confusion with headache.</w:t>
      </w:r>
    </w:p>
    <w:p>
      <w:r>
        <w:t xml:space="preserve">⚠️ Exam Trap: "COPD + confusion/drowsiness = CO₂ retention — check ABG (PaCO₂ &gt; 45)." Oxygen must be given cautiously (target SpO₂ 88–92%) to avoid suppressing the hypoxic drive.</w:t>
      </w:r>
    </w:p>
    <w:p>
      <w:r>
        <w:t xml:space="preserve">💎 PNC Pearl: "Sleepy COPD patient = too much CO₂ in the tank."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Redness, warmth and a cord-like tender vein along an intravenous infusion site indicate</w:t>
      </w:r>
    </w:p>
    <w:p>
      <w:r>
        <w:t xml:space="preserve">(a) Phlebitis</w:t>
      </w:r>
    </w:p>
    <w:p>
      <w:r>
        <w:t xml:space="preserve">(b) Air embolism</w:t>
      </w:r>
    </w:p>
    <w:p>
      <w:r>
        <w:t xml:space="preserve">(c) Infiltration</w:t>
      </w:r>
    </w:p>
    <w:p>
      <w:r>
        <w:t xml:space="preserve">(d) A normal reaction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Phlebitis is inflammation of the vein wall caused by chemical irritation (drugs), mechanical trauma (catheter), or infection. Signs are redness, warmth, tenderness, and a palpable cord along the vein. Action: stop the infusion, remove the cannula, apply warm compress, and restart at a new site.</w:t>
      </w:r>
    </w:p>
    <w:p>
      <w:r>
        <w:t xml:space="preserve">❌ Why Not Other Options?</w:t>
      </w:r>
    </w:p>
    <w:p>
      <w:r>
        <w:t xml:space="preserve">(b) — Air embolism presents with sudden dyspnea, chest pain, and hypotension — not local redness.</w:t>
      </w:r>
    </w:p>
    <w:p>
      <w:r>
        <w:t xml:space="preserve">(c) — Infiltration shows swelling, coolness, and pallor around the site (fluid in tissues), without a tender cord.</w:t>
      </w:r>
    </w:p>
    <w:p>
      <w:r>
        <w:t xml:space="preserve">(d) — Redness and tenderness are never "normal" at an IV site.</w:t>
      </w:r>
    </w:p>
    <w:p>
      <w:r>
        <w:t xml:space="preserve">⚠️ Exam Trap: Differentiate: phlebitis = red, warm, painful vein (inflammation); infiltration = pale, cool, swollen (fluid leak). Both require removing the IV — that's the exam answer.</w:t>
      </w:r>
    </w:p>
    <w:p>
      <w:r>
        <w:t xml:space="preserve">💎 PNC Pearl: "Red hot cord = phlebitis; pale swollen lump = infiltration."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purpose of swabbing the injection site with alcohol before giving an injection is to</w:t>
      </w:r>
    </w:p>
    <w:p>
      <w:r>
        <w:t xml:space="preserve">(a) Reduce skin microorganisms</w:t>
      </w:r>
    </w:p>
    <w:p>
      <w:r>
        <w:t xml:space="preserve">(b) Cool the site</w:t>
      </w:r>
    </w:p>
    <w:p>
      <w:r>
        <w:t xml:space="preserve">(c) Warm the site</w:t>
      </w:r>
    </w:p>
    <w:p>
      <w:r>
        <w:t xml:space="preserve">(d) Lubricate the needle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Alcohol (70%) swabbing removes and reduces skin microorganisms before the needle punctures the skin, lowering the risk of introducing pathogens into the subcutaneous or intramuscular tissue.</w:t>
      </w:r>
    </w:p>
    <w:p>
      <w:r>
        <w:t xml:space="preserve">❌ Why Not Other Options?</w:t>
      </w:r>
    </w:p>
    <w:p>
      <w:r>
        <w:t xml:space="preserve">(b) — Alcohol evaporates and may briefly cool the skin, but cooling is not the purpose.</w:t>
      </w:r>
    </w:p>
    <w:p>
      <w:r>
        <w:t xml:space="preserve">(c) — Warming is not achieved by alcohol; friction/warm compresses warm a site.</w:t>
      </w:r>
    </w:p>
    <w:p>
      <w:r>
        <w:t xml:space="preserve">(d) — The needle is not lubricated by skin swabbing; alcohol dries quickly.</w:t>
      </w:r>
    </w:p>
    <w:p>
      <w:r>
        <w:t xml:space="preserve">⚠️ Exam Trap: "Antiseptic skin prep = reduce infection risk." Also know: scrub the center outward in a circular motion and allow alcohol to dry before injecting (prevents stinging and inactivation).</w:t>
      </w:r>
    </w:p>
    <w:p>
      <w:r>
        <w:t xml:space="preserve">💎 PNC Pearl: "Swab to scrub the germs away — clean skin, safe shot."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Menopause is defined as</w:t>
      </w:r>
    </w:p>
    <w:p>
      <w:r>
        <w:t xml:space="preserve">(a) The permanent cessation of menstruation</w:t>
      </w:r>
    </w:p>
    <w:p>
      <w:r>
        <w:t xml:space="preserve">(b) The first menstrual period</w:t>
      </w:r>
    </w:p>
    <w:p>
      <w:r>
        <w:t xml:space="preserve">(c) Irregular bleeding in adolescence</w:t>
      </w:r>
    </w:p>
    <w:p>
      <w:r>
        <w:t xml:space="preserve">(d) Bleeding in early pregnancy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Menopause is the permanent cessation of menstruation resulting from loss of ovarian follicular activity, confirmed after 12 consecutive months of amenorrhea (average age ~45–55 years). The years before it are perimenopause.</w:t>
      </w:r>
    </w:p>
    <w:p>
      <w:r>
        <w:t xml:space="preserve">❌ Why Not Other Options?</w:t>
      </w:r>
    </w:p>
    <w:p>
      <w:r>
        <w:t xml:space="preserve">(b) — The first menstrual period is menarche, the opposite event.</w:t>
      </w:r>
    </w:p>
    <w:p>
      <w:r>
        <w:t xml:space="preserve">(c) — Irregular bleeding in adolescence relates to immature cycles, not menopause.</w:t>
      </w:r>
    </w:p>
    <w:p>
      <w:r>
        <w:t xml:space="preserve">(d) — Bleeding in early pregnancy is a threatened abortion sign, unrelated to menopause.</w:t>
      </w:r>
    </w:p>
    <w:p>
      <w:r>
        <w:t xml:space="preserve">⚠️ Exam Trap: Opposite pairs: menarche (first menses) vs menopause (last menses). Climacteric = transition period; menopause itself = the final menstrual period.</w:t>
      </w:r>
    </w:p>
    <w:p>
      <w:r>
        <w:t xml:space="preserve">💎 PNC Pearl: "Menarche begins it, menopause ends it — 12 months without a period seals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Denver Developmental Screening Test (DDST) assesses</w:t>
      </w:r>
    </w:p>
    <w:p>
      <w:r>
        <w:t xml:space="preserve">(a) Gross motor, fine motor, language and personal-social development</w:t>
      </w:r>
    </w:p>
    <w:p>
      <w:r>
        <w:t xml:space="preserve">(b) Only hearing</w:t>
      </w:r>
    </w:p>
    <w:p>
      <w:r>
        <w:t xml:space="preserve">(c) Only vision</w:t>
      </w:r>
    </w:p>
    <w:p>
      <w:r>
        <w:t xml:space="preserve">(d) Only weight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DDST (Denver II) screens four domains in children from birth to 6 years: gross motor, fine motor-adaptive, language, and personal-social. It flags developmental delays early for referral.</w:t>
      </w:r>
    </w:p>
    <w:p>
      <w:r>
        <w:t xml:space="preserve">❌ Why Not Other Options?</w:t>
      </w:r>
    </w:p>
    <w:p>
      <w:r>
        <w:t xml:space="preserve">(b) — Hearing is screened by specific audiological tests (OAE/BAER), not DDST.</w:t>
      </w:r>
    </w:p>
    <w:p>
      <w:r>
        <w:t xml:space="preserve">(c) — Vision screening uses specific eye tests.</w:t>
      </w:r>
    </w:p>
    <w:p>
      <w:r>
        <w:t xml:space="preserve">(d) — Weight alone is anthropometry (growth), not developmental screening.</w:t>
      </w:r>
    </w:p>
    <w:p>
      <w:r>
        <w:t xml:space="preserve">⚠️ Exam Trap: "DDST = developmental domains (4); growth charts = anthropometry." A child failing items in multiple sectors needs formal developmental evaluation.</w:t>
      </w:r>
    </w:p>
    <w:p>
      <w:r>
        <w:t xml:space="preserve">💎 PNC Pearl: "Denver checks four: big moves, small moves, words, and social skills."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drug used for aversion therapy in alcohol dependence is</w:t>
      </w:r>
    </w:p>
    <w:p>
      <w:r>
        <w:t xml:space="preserve">(a) Disulfiram</w:t>
      </w:r>
    </w:p>
    <w:p>
      <w:r>
        <w:t xml:space="preserve">(b) Lithium</w:t>
      </w:r>
    </w:p>
    <w:p>
      <w:r>
        <w:t xml:space="preserve">(c) Haloperidol</w:t>
      </w:r>
    </w:p>
    <w:p>
      <w:r>
        <w:t xml:space="preserve">(d) Paracetamol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Disulfiram (Antabuse) blocks acetaldehyde dehydrogenase, so if the patient drinks alcohol, acetaldehyde accumulates and causes flushing, palpitations, nausea, vomiting, and headache — a punishing reaction that deters drinking (aversion therapy).</w:t>
      </w:r>
    </w:p>
    <w:p>
      <w:r>
        <w:t xml:space="preserve">❌ Why Not Other Options?</w:t>
      </w:r>
    </w:p>
    <w:p>
      <w:r>
        <w:t xml:space="preserve">(b) — Lithium is a mood stabilizer for bipolar disorder.</w:t>
      </w:r>
    </w:p>
    <w:p>
      <w:r>
        <w:t xml:space="preserve">(c) — Haloperidol is an antipsychotic for schizophrenia/agitation.</w:t>
      </w:r>
    </w:p>
    <w:p>
      <w:r>
        <w:t xml:space="preserve">(d) — Paracetamol is an analgesic-antipyretic.</w:t>
      </w:r>
    </w:p>
    <w:p>
      <w:r>
        <w:t xml:space="preserve">⚠️ Exam Trap: "Disulfiram + alcohol = acetaldehyde syndrome." Counsel patients to avoid ALL alcohol-containing products (cough syrups, mouthwash). Know other alcohol treatments: naltrexone, acamprosate, benzodiazepines for withdrawal.</w:t>
      </w:r>
    </w:p>
    <w:p>
      <w:r>
        <w:t xml:space="preserve">💎 PNC Pearl: "Disulfiram makes drinking punishable — one sip, one awful flush."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purpose of positive end-expiratory pressure (PEEP) during mechanical ventilation is to</w:t>
      </w:r>
    </w:p>
    <w:p>
      <w:r>
        <w:t xml:space="preserve">(a) Prevent alveolar collapse and improve oxygenation</w:t>
      </w:r>
    </w:p>
    <w:p>
      <w:r>
        <w:t xml:space="preserve">(b) Increase carbon dioxide</w:t>
      </w:r>
    </w:p>
    <w:p>
      <w:r>
        <w:t xml:space="preserve">(c) Sedate the patient</w:t>
      </w:r>
    </w:p>
    <w:p>
      <w:r>
        <w:t xml:space="preserve">(d) Drain secretions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PEEP maintains positive airway pressure at the end of expiration, keeping alveoli open (recruiting collapsed alveoli) and preventing their collapse at end-expiration. This improves ventilation-perfusion matching and oxygenation in ARDS and respiratory failure.</w:t>
      </w:r>
    </w:p>
    <w:p>
      <w:r>
        <w:t xml:space="preserve">❌ Why Not Other Options?</w:t>
      </w:r>
    </w:p>
    <w:p>
      <w:r>
        <w:t xml:space="preserve">(b) — PEEP does not increase CO₂; it improves gas exchange.</w:t>
      </w:r>
    </w:p>
    <w:p>
      <w:r>
        <w:t xml:space="preserve">(c) — Sedation is provided by sedative drugs, not PEEP.</w:t>
      </w:r>
    </w:p>
    <w:p>
      <w:r>
        <w:t xml:space="preserve">(d) — Secretions are drained by suctioning and positioning, not PEEP.</w:t>
      </w:r>
    </w:p>
    <w:p>
      <w:r>
        <w:t xml:space="preserve">⚠️ Exam Trap: "PEEP = keep the alveoli open at the end of breath-out." Side effects: decreased cardiac output (impaired venous return), barotrauma, and air leak — monitor blood pressure.</w:t>
      </w:r>
    </w:p>
    <w:p>
      <w:r>
        <w:t xml:space="preserve">💎 PNC Pearl: "PEEP props the tiny air sacs open — oxygenation's scaffold."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"research design" of a study describes</w:t>
      </w:r>
    </w:p>
    <w:p>
      <w:r>
        <w:t xml:space="preserve">(a) The overall plan for conducting the study</w:t>
      </w:r>
    </w:p>
    <w:p>
      <w:r>
        <w:t xml:space="preserve">(b) Only the title of the study</w:t>
      </w:r>
    </w:p>
    <w:p>
      <w:r>
        <w:t xml:space="preserve">(c) Only the references</w:t>
      </w:r>
    </w:p>
    <w:p>
      <w:r>
        <w:t xml:space="preserve">(d) Only the budget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research design is the blueprint of the study — how subjects are selected and assigned, how variables are measured, and how data are collected and analyzed (e.g., experimental, quasi-experimental, descriptive, correlational designs). It determines the study's validity.</w:t>
      </w:r>
    </w:p>
    <w:p>
      <w:r>
        <w:t xml:space="preserve">❌ Why Not Other Options?</w:t>
      </w:r>
    </w:p>
    <w:p>
      <w:r>
        <w:t xml:space="preserve">(b) — The title names the study; it is not the design.</w:t>
      </w:r>
    </w:p>
    <w:p>
      <w:r>
        <w:t xml:space="preserve">(c) — References list cited sources.</w:t>
      </w:r>
    </w:p>
    <w:p>
      <w:r>
        <w:t xml:space="preserve">(d) — The budget is a funding/resource plan.</w:t>
      </w:r>
    </w:p>
    <w:p>
      <w:r>
        <w:t xml:space="preserve">⚠️ Exam Trap: Research terminology: design = overall plan; methodology = procedures; sample = subjects; variables = measured factors; hypothesis = prediction. Experimental design = manipulation + control + randomization.</w:t>
      </w:r>
    </w:p>
    <w:p>
      <w:r>
        <w:t xml:space="preserve">💎 PNC Pearl: "Design is the blueprint — everything else builds on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"Span of control" in management refers to</w:t>
      </w:r>
    </w:p>
    <w:p>
      <w:r>
        <w:t xml:space="preserve">(a) The number of subordinates one manager can supervise effectively</w:t>
      </w:r>
    </w:p>
    <w:p>
      <w:r>
        <w:t xml:space="preserve">(b) The number of beds in a ward</w:t>
      </w:r>
    </w:p>
    <w:p>
      <w:r>
        <w:t xml:space="preserve">(c) The length of a work shift</w:t>
      </w:r>
    </w:p>
    <w:p>
      <w:r>
        <w:t xml:space="preserve">(d) The size of the hospital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Span of control (span of management) is the number of subordinates who report directly to one manager. A narrow span (few subordinates) allows close supervision; a wide span suits routine tasks with skilled staff.</w:t>
      </w:r>
    </w:p>
    <w:p>
      <w:r>
        <w:t xml:space="preserve">❌ Why Not Other Options?</w:t>
      </w:r>
    </w:p>
    <w:p>
      <w:r>
        <w:t xml:space="preserve">(b) — Bed numbers describe ward capacity, not supervision.</w:t>
      </w:r>
    </w:p>
    <w:p>
      <w:r>
        <w:t xml:space="preserve">(c) — Shift length is about work hours.</w:t>
      </w:r>
    </w:p>
    <w:p>
      <w:r>
        <w:t xml:space="preserve">(d) — Hospital size relates to organizational scale, not reporting structure.</w:t>
      </w:r>
    </w:p>
    <w:p>
      <w:r>
        <w:t xml:space="preserve">⚠️ Exam Trap: Management principles to pair: span of control = subordinates per manager; unity of command = one boss per employee; delegation = assigning authority; scalar chain = line of authority.</w:t>
      </w:r>
    </w:p>
    <w:p>
      <w:r>
        <w:t xml:space="preserve">💎 PNC Pearl: "Span of control = how many report to one boss."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