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blood urea nitrogen (BUN) to creatinine ratio is approximately:</w:t>
      </w:r>
    </w:p>
    <w:p>
      <w:r>
        <w:t xml:space="preserve">(a) 10:1 to 20:1</w:t>
      </w:r>
    </w:p>
    <w:p>
      <w:r>
        <w:t xml:space="preserve">(b) 1:1</w:t>
      </w:r>
    </w:p>
    <w:p>
      <w:r>
        <w:t xml:space="preserve">(c) 40:1 to 50:1</w:t>
      </w:r>
    </w:p>
    <w:p>
      <w:r>
        <w:t xml:space="preserve">(d) 100:1</w:t>
      </w:r>
    </w:p>
    <w:p>
      <w:r>
        <w:t xml:space="preserve">Answer: a</w:t>
      </w:r>
    </w:p>
    <w:p>
      <w:r>
        <w:t xml:space="preserve">Solution: ✅ Correct Answer: (a) 10:1 to 20:1</w:t>
      </w:r>
    </w:p>
    <w:p>
      <w:r>
        <w:t xml:space="preserve">🧠 Clinical Rationale: BUN:creatinine ratio helps differentiate causes of renal dysfunction. Normal is 10:1–20:1. A HIGH ratio (&gt;20:1) points to PRERENAL causes (dehydration, heart failure, GI bleeding — the kidney is fine, perfusion is low); a LOW ratio occurs in liver disease and overhydration.</w:t>
      </w:r>
    </w:p>
    <w:p>
      <w:r>
        <w:t xml:space="preserve">🔍 Key Clues: "BUN to creatinine ratio" → the 10:1–20:1 anchor, then interpret high vs low.</w:t>
      </w:r>
    </w:p>
    <w:p>
      <w:r>
        <w:t xml:space="preserve">❌ Why Not Other Options?</w:t>
      </w:r>
    </w:p>
    <w:p>
      <w:r>
        <w:t xml:space="preserve">(b) — 1:1 is far too low and not a physiological ratio.</w:t>
      </w:r>
    </w:p>
    <w:p>
      <w:r>
        <w:t xml:space="preserve">(c) — 40:1–50:1 indicates severe prerenal azotemia, not normal.</w:t>
      </w:r>
    </w:p>
    <w:p>
      <w:r>
        <w:t xml:space="preserve">(d) — 100:1 is grossly elevated and nonsensical as a baseline.</w:t>
      </w:r>
    </w:p>
    <w:p>
      <w:r>
        <w:t xml:space="preserve">⚠️ Exam Trap: The ratio only points to a CAUSE when abnormal: high = prerenal (dehydration/GI bleed), low = hepatic/overhydration. Anchor the normal at 10–20:1.</w:t>
      </w:r>
    </w:p>
    <w:p>
      <w:r>
        <w:t xml:space="preserve">💎 PNC Pearl: "BUN:Cr &gt;20 = prerenal (kidney thirsty); &lt;10 = liver problem or too much water."</w:t>
      </w:r>
    </w:p>
    <w:p>
      <w:r>
        <w:t xml:space="preserve">📌 Concept Extension: GI bleeding raises BUN disproportionately (blood protein → urea) — a classic cause of a very high ratio.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dressing change. Which action maintains surgical asepsis?</w:t>
      </w:r>
    </w:p>
    <w:p>
      <w:r>
        <w:t xml:space="preserve">(a) Use sterile gloves and a sterile field with the tip of the forceps held downward</w:t>
      </w:r>
    </w:p>
    <w:p>
      <w:r>
        <w:t xml:space="preserve">(b) Hold forceps with the tips pointing upward</w:t>
      </w:r>
    </w:p>
    <w:p>
      <w:r>
        <w:t xml:space="preserve">(c) Touch the sterile field with bare hands</w:t>
      </w:r>
    </w:p>
    <w:p>
      <w:r>
        <w:t xml:space="preserve">(d) Reach across the sterile field</w:t>
      </w:r>
    </w:p>
    <w:p>
      <w:r>
        <w:t xml:space="preserve">Answer: a</w:t>
      </w:r>
    </w:p>
    <w:p>
      <w:r>
        <w:t xml:space="preserve">Solution: ✅ Correct Answer: (a) Use sterile gloves and a sterile field with the tip of the forceps held downward</w:t>
      </w:r>
    </w:p>
    <w:p>
      <w:r>
        <w:t xml:space="preserve">🧠 Clinical Rationale: Surgical asepsis (sterile technique) requires: sterile gloves, a sterile field, and holding forceps with the tips DOWNWARD so fluid does not run up onto the sterile shaft/gloves. The nurse never touches the field, reaches across it, or lets non-sterile items enter it.</w:t>
      </w:r>
    </w:p>
    <w:p>
      <w:r>
        <w:t xml:space="preserve">🔍 Key Clues: "Maintains surgical asepsis" → sterile gloves + sterile field + forceps tips down.</w:t>
      </w:r>
    </w:p>
    <w:p>
      <w:r>
        <w:t xml:space="preserve">❌ Why Not Other Options?</w:t>
      </w:r>
    </w:p>
    <w:p>
      <w:r>
        <w:t xml:space="preserve">(b) — Forceps held with tips UP allow contamination to run down onto the sterile tips.</w:t>
      </w:r>
    </w:p>
    <w:p>
      <w:r>
        <w:t xml:space="preserve">(c) — Touching the sterile field with bare hands breaks sterility instantly.</w:t>
      </w:r>
    </w:p>
    <w:p>
      <w:r>
        <w:t xml:space="preserve">(d) — Reaching across the sterile field contaminates it with non-sterile clothing/arms.</w:t>
      </w:r>
    </w:p>
    <w:p>
      <w:r>
        <w:t xml:space="preserve">⚠️ Exam Trap: "Tips down" is the classic asepsis rule — fluid runs away from the sterile field; tips up lets it run toward the tips.</w:t>
      </w:r>
    </w:p>
    <w:p>
      <w:r>
        <w:t xml:space="preserve">💎 PNC Pearl: "Sterile to sterile, tips down, never reach across" — keep the field dry and in sight.</w:t>
      </w:r>
    </w:p>
    <w:p>
      <w:r>
        <w:t xml:space="preserve">📌 Concept Extension: Keep the sterile field above waist level and at eye level — anything below the waist is considered contaminated.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prescribed a diuretic. Which type is commonly used to manage fluid overload in CKD?</w:t>
      </w:r>
    </w:p>
    <w:p>
      <w:r>
        <w:t xml:space="preserve">(a) Loop diuretics (furosemide)</w:t>
      </w:r>
    </w:p>
    <w:p>
      <w:r>
        <w:t xml:space="preserve">(b) Potassium-sparing diuretics alone</w:t>
      </w:r>
    </w:p>
    <w:p>
      <w:r>
        <w:t xml:space="preserve">(c) Osmotic diuretics</w:t>
      </w:r>
    </w:p>
    <w:p>
      <w:r>
        <w:t xml:space="preserve">(d) No diuretic</w:t>
      </w:r>
    </w:p>
    <w:p>
      <w:r>
        <w:t xml:space="preserve">Answer: a</w:t>
      </w:r>
    </w:p>
    <w:p>
      <w:r>
        <w:t xml:space="preserve">Solution: ✅ Correct Answer: (a) Loop diuretics (furosemide)</w:t>
      </w:r>
    </w:p>
    <w:p>
      <w:r>
        <w:t xml:space="preserve">🧠 Clinical Rationale: Loop diuretics (furosemide, torsemide) work at the ascending loop of Henle and remain effective even when GFR is reduced — making them the diuretics of choice for fluid overload in CKD. They are given in higher doses as renal function falls.</w:t>
      </w:r>
    </w:p>
    <w:p>
      <w:r>
        <w:t xml:space="preserve">🔍 Key Clues: "CKD" + "fluid overload" → the diuretic class that works with a low GFR: loop diuretics.</w:t>
      </w:r>
    </w:p>
    <w:p>
      <w:r>
        <w:t xml:space="preserve">❌ Why Not Other Options?</w:t>
      </w:r>
    </w:p>
    <w:p>
      <w:r>
        <w:t xml:space="preserve">(b) — Potassium-sparing diuretics (spironolactone) risk dangerous HYPERKALEMIA in CKD — the kidneys already retain potassium.</w:t>
      </w:r>
    </w:p>
    <w:p>
      <w:r>
        <w:t xml:space="preserve">(c) — Osmotic diuretics (mannitol) are used for cerebral edema and acute glaucoma, not CKD fluid overload.</w:t>
      </w:r>
    </w:p>
    <w:p>
      <w:r>
        <w:t xml:space="preserve">(d) — "No diuretic" ignores the standard management of CKD fluid overload.</w:t>
      </w:r>
    </w:p>
    <w:p>
      <w:r>
        <w:t xml:space="preserve">⚠️ Exam Trap: CKD = potassium danger. Loop diuretics (which LOSE potassium) are safe; potassium-sparing ones are risky — that reasoning is the exam point.</w:t>
      </w:r>
    </w:p>
    <w:p>
      <w:r>
        <w:t xml:space="preserve">💎 PNC Pearl: Loop diuretics work despite low GFR; monitor for hypokalemia, dehydration, and ototoxicity.</w:t>
      </w:r>
    </w:p>
    <w:p>
      <w:r>
        <w:t xml:space="preserve">📌 Concept Extension: CKD hyperkalemia management: restrict potassium, kayexalate, insulin-glucose, calcium gluconate for ECG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the fetal heart rate during the first stage of labor. A baseline FHR of 150 beats per minute is:</w:t>
      </w:r>
    </w:p>
    <w:p>
      <w:r>
        <w:t xml:space="preserve">(a) Within the normal range (110–160 bpm)</w:t>
      </w:r>
    </w:p>
    <w:p>
      <w:r>
        <w:t xml:space="preserve">(b) Bradycardia</w:t>
      </w:r>
    </w:p>
    <w:p>
      <w:r>
        <w:t xml:space="preserve">(c) Tachycardia</w:t>
      </w:r>
    </w:p>
    <w:p>
      <w:r>
        <w:t xml:space="preserve">(d) Indicative of distress</w:t>
      </w:r>
    </w:p>
    <w:p>
      <w:r>
        <w:t xml:space="preserve">Answer: a</w:t>
      </w:r>
    </w:p>
    <w:p>
      <w:r>
        <w:t xml:space="preserve">Solution: ✅ Correct Answer: (a) Within the normal range (110–160 bpm)</w:t>
      </w:r>
    </w:p>
    <w:p>
      <w:r>
        <w:t xml:space="preserve">🧠 Clinical Rationale: The normal baseline FHR is 110–160 bpm — 150 is squarely normal. Interpretation requires the WHOLE picture: variability, accelerations, decelerations, and contractions. Persistent tachycardia (&gt;160) or bradycardia (&lt;110) needs evaluation.</w:t>
      </w:r>
    </w:p>
    <w:p>
      <w:r>
        <w:t xml:space="preserve">🔍 Key Clues: "150 bpm" + "first stage" → within the 110–160 normal baseline.</w:t>
      </w:r>
    </w:p>
    <w:p>
      <w:r>
        <w:t xml:space="preserve">❌ Why Not Other Options?</w:t>
      </w:r>
    </w:p>
    <w:p>
      <w:r>
        <w:t xml:space="preserve">(b) — Bradycardia is &lt;110 bpm.</w:t>
      </w:r>
    </w:p>
    <w:p>
      <w:r>
        <w:t xml:space="preserve">(c) — Tachycardia is &gt;160 bpm (persistent).</w:t>
      </w:r>
    </w:p>
    <w:p>
      <w:r>
        <w:t xml:space="preserve">(d) — A single normal baseline does not indicate distress; distress is judged by decelerations and loss of variability.</w:t>
      </w:r>
    </w:p>
    <w:p>
      <w:r>
        <w:t xml:space="preserve">⚠️ Exam Trap: Baseline 110–160 is the anchor. Moderate variability (6–25 bpm) is a reassuring sign; late decelerations are the warning sign.</w:t>
      </w:r>
    </w:p>
    <w:p>
      <w:r>
        <w:t xml:space="preserve">💎 PNC Pearl: Normal baseline 110–160; category II/III tracings (late decelerations, absent variability) require intervention.</w:t>
      </w:r>
    </w:p>
    <w:p>
      <w:r>
        <w:t xml:space="preserve">📌 Concept Extension: Late decelerations = uteroplacental insufficiency → left lateral, oxygen, IV fluids, notify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3-month-old infant with bronchiolitis is admitted with respiratory distress. The nurse should position the infant:</w:t>
      </w:r>
    </w:p>
    <w:p>
      <w:r>
        <w:t xml:space="preserve">(a) Upright (semi-Fowler's) with the head elevated</w:t>
      </w:r>
    </w:p>
    <w:p>
      <w:r>
        <w:t xml:space="preserve">(b) Flat supine</w:t>
      </w:r>
    </w:p>
    <w:p>
      <w:r>
        <w:t xml:space="preserve">(c) Prone</w:t>
      </w:r>
    </w:p>
    <w:p>
      <w:r>
        <w:t xml:space="preserve">(d) Trendelenburg</w:t>
      </w:r>
    </w:p>
    <w:p>
      <w:r>
        <w:t xml:space="preserve">Answer: a</w:t>
      </w:r>
    </w:p>
    <w:p>
      <w:r>
        <w:t xml:space="preserve">Solution: ✅ Correct Answer: (a) Upright (semi-Fowler's) with the head elevated</w:t>
      </w:r>
    </w:p>
    <w:p>
      <w:r>
        <w:t xml:space="preserve">🧠 Clinical Rationale: Upright positioning maximizes chest expansion and airway patency in bronchiolitis — it also reduces work of breathing and lets secretions drain. Care also includes oxygen, nasal suctioning, small frequent feeds, and monitoring for apnea.</w:t>
      </w:r>
    </w:p>
    <w:p>
      <w:r>
        <w:t xml:space="preserve">🔍 Key Clues: "Bronchiolitis" + "respiratory distress" + "3-month-old" → position for easiest breathing: upright.</w:t>
      </w:r>
    </w:p>
    <w:p>
      <w:r>
        <w:t xml:space="preserve">❌ Why Not Other Options?</w:t>
      </w:r>
    </w:p>
    <w:p>
      <w:r>
        <w:t xml:space="preserve">(b) — Flat supine allows the tongue and secretions to obstruct the small infant airway and worsens breathing.</w:t>
      </w:r>
    </w:p>
    <w:p>
      <w:r>
        <w:t xml:space="preserve">(c) — Prone is not used for respiratory comfort in bronchiolitis (supine/prone both reduce airflow compared to upright).</w:t>
      </w:r>
    </w:p>
    <w:p>
      <w:r>
        <w:t xml:space="preserve">(d) — Trendelenburg (head down) pushes abdominal contents against the diaphragm.</w:t>
      </w:r>
    </w:p>
    <w:p>
      <w:r>
        <w:t xml:space="preserve">⚠️ Exam Trap: In ANY respiratory distress, "upright" is the position answer; flat positions are always wrong.</w:t>
      </w:r>
    </w:p>
    <w:p>
      <w:r>
        <w:t xml:space="preserve">💎 PNC Pearl: Bronchiolitis care: upright, oxygen, suction nares, small feeds; RSV is the #1 cause in infants.</w:t>
      </w:r>
    </w:p>
    <w:p>
      <w:r>
        <w:t xml:space="preserve">📌 Concept Extension: Watch for apnea in infants &lt;2 months and ex-premature babies — the highest-risk group for deterioration.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prescribed buspirone. The nurse should inform the patient that:</w:t>
      </w:r>
    </w:p>
    <w:p>
      <w:r>
        <w:t xml:space="preserve">(a) Full effect may take 2–4 weeks and it is not sedating or addictive</w:t>
      </w:r>
    </w:p>
    <w:p>
      <w:r>
        <w:t xml:space="preserve">(b) It works immediately like a benzodiazepine</w:t>
      </w:r>
    </w:p>
    <w:p>
      <w:r>
        <w:t xml:space="preserve">(c) It is addictive</w:t>
      </w:r>
    </w:p>
    <w:p>
      <w:r>
        <w:t xml:space="preserve">(d) It must be taken only at bedtime</w:t>
      </w:r>
    </w:p>
    <w:p>
      <w:r>
        <w:t xml:space="preserve">Answer: a</w:t>
      </w:r>
    </w:p>
    <w:p>
      <w:r>
        <w:t xml:space="preserve">Solution: ✅ Correct Answer: (a) Full effect may take 2–4 weeks and it is not sedating or addictive</w:t>
      </w:r>
    </w:p>
    <w:p>
      <w:r>
        <w:t xml:space="preserve">🧠 Clinical Rationale: Buspirone is a non-benzodiazepine anxiolytic (5-HT1A receptor agonist) used for CHRONIC anxiety. Unlike benzodiazepines, it causes little sedation, has a very low abuse potential, and takes 2–4 weeks for full effect — patients must take it DAILY, not PRN.</w:t>
      </w:r>
    </w:p>
    <w:p>
      <w:r>
        <w:t xml:space="preserve">🔍 Key Clues: "Buspirone" → non-addictive, non-sedating, slow-onset anxiolytic — the key teaching points.</w:t>
      </w:r>
    </w:p>
    <w:p>
      <w:r>
        <w:t xml:space="preserve">❌ Why Not Other Options?</w:t>
      </w:r>
    </w:p>
    <w:p>
      <w:r>
        <w:t xml:space="preserve">(b) — Buspirone does NOT act immediately; immediate relief is the benzodiazepine profile.</w:t>
      </w:r>
    </w:p>
    <w:p>
      <w:r>
        <w:t xml:space="preserve">(c) — It is essentially non-addictive — low abuse potential is one of its advantages.</w:t>
      </w:r>
    </w:p>
    <w:p>
      <w:r>
        <w:t xml:space="preserve">(d) — It is taken consistently (usually 2–3 times daily), not only at bedtime.</w:t>
      </w:r>
    </w:p>
    <w:p>
      <w:r>
        <w:t xml:space="preserve">⚠️ Exam Trap: Benzodiazepines = fast, sedating, addictive; buspirone = slow, non-sedating, non-addictive. The contrasts are the tested points.</w:t>
      </w:r>
    </w:p>
    <w:p>
      <w:r>
        <w:t xml:space="preserve">💎 PNC Pearl: "Buspirone is a slow builder — 2–4 weeks, no sedation, no addiction, daily dosing."</w:t>
      </w:r>
    </w:p>
    <w:p>
      <w:r>
        <w:t xml:space="preserve">📌 Concept Extension: Benzodiazepine withdrawal can be dangerous — taper slowly; buspirone is a safer chronic option.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Jan Dhan Yojana" (PMJDY) aims to:</w:t>
      </w:r>
    </w:p>
    <w:p>
      <w:r>
        <w:t xml:space="preserve">(a) Provide universal access to banking facilities (financial inclusion)</w:t>
      </w:r>
    </w:p>
    <w:p>
      <w:r>
        <w:t xml:space="preserve">(b) Provide free health checkups</w:t>
      </w:r>
    </w:p>
    <w:p>
      <w:r>
        <w:t xml:space="preserve">(c) Build roads</w:t>
      </w:r>
    </w:p>
    <w:p>
      <w:r>
        <w:t xml:space="preserve">(d) Train nurses</w:t>
      </w:r>
    </w:p>
    <w:p>
      <w:r>
        <w:t xml:space="preserve">Answer: a</w:t>
      </w:r>
    </w:p>
    <w:p>
      <w:r>
        <w:t xml:space="preserve">Solution: ✅ Correct Answer: (a) Provide universal access to banking facilities (financial inclusion)</w:t>
      </w:r>
    </w:p>
    <w:p>
      <w:r>
        <w:t xml:space="preserve">🧠 Clinical Rationale: PMJDY (launched August 2014) is India's flagship financial-inclusion scheme — every household gets a bank account (zero balance), a RuPay debit card, and accidental insurance cover, plus access to credit and the formal banking system.</w:t>
      </w:r>
    </w:p>
    <w:p>
      <w:r>
        <w:t xml:space="preserve">🔍 Key Clues: "Jan Dhan" = people's wealth → bank accounts for all = financial inclusion.</w:t>
      </w:r>
    </w:p>
    <w:p>
      <w:r>
        <w:t xml:space="preserve">❌ Why Not Other Options?</w:t>
      </w:r>
    </w:p>
    <w:p>
      <w:r>
        <w:t xml:space="preserve">(b) — Free health checkups are not PMJDY's mandate (health coverage = Ayushman Bharat).</w:t>
      </w:r>
    </w:p>
    <w:p>
      <w:r>
        <w:t xml:space="preserve">(c) — Roads belong to NHAI/PMGSY.</w:t>
      </w:r>
    </w:p>
    <w:p>
      <w:r>
        <w:t xml:space="preserve">(d) — Nurse training is not a financial-inclusion program.</w:t>
      </w:r>
    </w:p>
    <w:p>
      <w:r>
        <w:t xml:space="preserve">⚠️ Exam Trap: PMJDY = bank account + RuPay card + insurance (financial); Ayushman = health; PMJAY = health insurance.</w:t>
      </w:r>
    </w:p>
    <w:p>
      <w:r>
        <w:t xml:space="preserve">💎 PNC Pearl: PMJDY: "one account per household, zero balance, RuPay card, ₹1–2 lakh accident cover."</w:t>
      </w:r>
    </w:p>
    <w:p>
      <w:r>
        <w:t xml:space="preserve">📌 Concept Extension: PMJDY accounts are linked to Aadhaar and mobile (JAM trinity) for direct benefit transfers.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30 mg of a medication. The vial contains 15 mg/mL. The volume to give is:</w:t>
      </w:r>
    </w:p>
    <w:p>
      <w:r>
        <w:t xml:space="preserve">(a) 0.5 mL</w:t>
      </w:r>
    </w:p>
    <w:p>
      <w:r>
        <w:t xml:space="preserve">(b) 1 mL</w:t>
      </w:r>
    </w:p>
    <w:p>
      <w:r>
        <w:t xml:space="preserve">(c) 2 mL</w:t>
      </w:r>
    </w:p>
    <w:p>
      <w:r>
        <w:t xml:space="preserve">(d) 3 mL</w:t>
      </w:r>
    </w:p>
    <w:p>
      <w:r>
        <w:t xml:space="preserve">Answer: c</w:t>
      </w:r>
    </w:p>
    <w:p>
      <w:r>
        <w:t xml:space="preserve">Solution: ✅ Correct Answer: (c) 2 mL</w:t>
      </w:r>
    </w:p>
    <w:p>
      <w:r>
        <w:t xml:space="preserve">🧠 Clinical Rationale: Volume = Desired ÷ Concentration = 30 mg ÷ 15 mg/mL = 2 mL. Check: 2 mL × 15 mg/mL = 30 mg ✓.</w:t>
      </w:r>
    </w:p>
    <w:p>
      <w:r>
        <w:t xml:space="preserve">🔍 Key Clues: "30 mg ordered" + "15 mg/mL" → divide the dose by the concentration.</w:t>
      </w:r>
    </w:p>
    <w:p>
      <w:r>
        <w:t xml:space="preserve">❌ Why Not Other Options?</w:t>
      </w:r>
    </w:p>
    <w:p>
      <w:r>
        <w:t xml:space="preserve">(a) — 0.5 mL delivers 7.5 mg — a fraction of the dose.</w:t>
      </w:r>
    </w:p>
    <w:p>
      <w:r>
        <w:t xml:space="preserve">(b) — 1 mL delivers 15 mg — half the required dose.</w:t>
      </w:r>
    </w:p>
    <w:p>
      <w:r>
        <w:t xml:space="preserve">(d) — 3 mL delivers 45 mg — 50% overdose.</w:t>
      </w:r>
    </w:p>
    <w:p>
      <w:r>
        <w:t xml:space="preserve">⚠️ Exam Trap: 30 ÷ 15 = 2 — simple, but verify by multiplication to avoid careless slips.</w:t>
      </w:r>
    </w:p>
    <w:p>
      <w:r>
        <w:t xml:space="preserve">💎 PNC Pearl: D ÷ H = volume in mL; double-check: volume × concentration = dose.</w:t>
      </w:r>
    </w:p>
    <w:p>
      <w:r>
        <w:t xml:space="preserve">📌 Concept Extension: Draw up with a syringe matching the volume range for accuracy (e.g., a 3 mL syringe for 2 mL).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lymphatic system's primary function is:</w:t>
      </w:r>
    </w:p>
    <w:p>
      <w:r>
        <w:t xml:space="preserve">(a) Returning interstitial fluid to the blood and defending against infection</w:t>
      </w:r>
    </w:p>
    <w:p>
      <w:r>
        <w:t xml:space="preserve">(b) Digesting food</w:t>
      </w:r>
    </w:p>
    <w:p>
      <w:r>
        <w:t xml:space="preserve">(c) Producing urine</w:t>
      </w:r>
    </w:p>
    <w:p>
      <w:r>
        <w:t xml:space="preserve">(d) Regulating body temperature only</w:t>
      </w:r>
    </w:p>
    <w:p>
      <w:r>
        <w:t xml:space="preserve">Answer: a</w:t>
      </w:r>
    </w:p>
    <w:p>
      <w:r>
        <w:t xml:space="preserve">Solution: ✅ Correct Answer: (a) Returning interstitial fluid to the blood and defending against infection</w:t>
      </w:r>
    </w:p>
    <w:p>
      <w:r>
        <w:t xml:space="preserve">🧠 Clinical Rationale: The lymphatic system has two core jobs: (1) RETURN excess interstitial fluid (as lymph) to the bloodstream via lymph vessels — preventing edema; and (2) DEFEND against infection through lymphocytes and lymph nodes that filter pathogens.</w:t>
      </w:r>
    </w:p>
    <w:p>
      <w:r>
        <w:t xml:space="preserve">🔍 Key Clues: "Primary function" of the lymphatic system → fluid return + immunity.</w:t>
      </w:r>
    </w:p>
    <w:p>
      <w:r>
        <w:t xml:space="preserve">❌ Why Not Other Options?</w:t>
      </w:r>
    </w:p>
    <w:p>
      <w:r>
        <w:t xml:space="preserve">(b) — Digestion is the gastrointestinal system's job (the lymphatics only absorb dietary fats as chyle).</w:t>
      </w:r>
    </w:p>
    <w:p>
      <w:r>
        <w:t xml:space="preserve">(c) — Urine production is renal.</w:t>
      </w:r>
    </w:p>
    <w:p>
      <w:r>
        <w:t xml:space="preserve">(d) — Temperature regulation is primarily the skin/hypothalamus, not lymphatics.</w:t>
      </w:r>
    </w:p>
    <w:p>
      <w:r>
        <w:t xml:space="preserve">⚠️ Exam Trap: The two functions (fluid balance + immunity) must BOTH be present in the answer — single-function options are incomplete.</w:t>
      </w:r>
    </w:p>
    <w:p>
      <w:r>
        <w:t xml:space="preserve">💎 PNC Pearl: "Lymph = fluid recycler + infection fighter." Lymph nodes filter; spleen is the largest lymphoid organ.</w:t>
      </w:r>
    </w:p>
    <w:p>
      <w:r>
        <w:t xml:space="preserve">📌 Concept Extension: Lymphedema results when lymph drainage is blocked (e.g., post-mastectomy axillary node dissection).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skeletal traction develops a fever and purulent discharge at the pin site. The nurse should:</w:t>
      </w:r>
    </w:p>
    <w:p>
      <w:r>
        <w:t xml:space="preserve">(a) Report the suspected pin site infection and prepare for culture</w:t>
      </w:r>
    </w:p>
    <w:p>
      <w:r>
        <w:t xml:space="preserve">(b) Ignore it</w:t>
      </w:r>
    </w:p>
    <w:p>
      <w:r>
        <w:t xml:space="preserve">(c) Remove the pin</w:t>
      </w:r>
    </w:p>
    <w:p>
      <w:r>
        <w:t xml:space="preserve">(d) Apply a dirty dressing</w:t>
      </w:r>
    </w:p>
    <w:p>
      <w:r>
        <w:t xml:space="preserve">Answer: a</w:t>
      </w:r>
    </w:p>
    <w:p>
      <w:r>
        <w:t xml:space="preserve">Solution: ✅ Correct Answer: (a) Report the suspected pin site infection and prepare for culture</w:t>
      </w:r>
    </w:p>
    <w:p>
      <w:r>
        <w:t xml:space="preserve">🧠 Clinical Rationale: Fever + purulent discharge at a traction pin site = pin tract infection. The nurse notifies the physician, prepares for wound culture, and continues aseptic pin site care. Untreated, the infection tracks into the bone — osteomyelitis.</w:t>
      </w:r>
    </w:p>
    <w:p>
      <w:r>
        <w:t xml:space="preserve">🔍 Key Clues: "Fever" + "purulent discharge" + "pin site" → infection → report + culture.</w:t>
      </w:r>
    </w:p>
    <w:p>
      <w:r>
        <w:t xml:space="preserve">❌ Why Not Other Options?</w:t>
      </w:r>
    </w:p>
    <w:p>
      <w:r>
        <w:t xml:space="preserve">(b) — Ignoring it allows the infection to spread to the bone.</w:t>
      </w:r>
    </w:p>
    <w:p>
      <w:r>
        <w:t xml:space="preserve">(c) — Removing the pin is a physician procedure — nurses never remove hardware.</w:t>
      </w:r>
    </w:p>
    <w:p>
      <w:r>
        <w:t xml:space="preserve">(d) — A dirty dressing introduces more organisms and violates asepsis.</w:t>
      </w:r>
    </w:p>
    <w:p>
      <w:r>
        <w:t xml:space="preserve">⚠️ Exam Trap: Pin site signs to report: purulent/foul discharge, spreading redness, pain, fever. Aseptic care is the nurse's continuous responsibility.</w:t>
      </w:r>
    </w:p>
    <w:p>
      <w:r>
        <w:t xml:space="preserve">💎 PNC Pearl: "Fever + pin discharge = infection until proven otherwise" → notify, culture, aseptic care.</w:t>
      </w:r>
    </w:p>
    <w:p>
      <w:r>
        <w:t xml:space="preserve">📌 Concept Extension: Skeletal traction pin care: chlorhexidine cleaning, away-from-pin motion, monitor neurovascular status.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chloride level in an adult is:</w:t>
      </w:r>
    </w:p>
    <w:p>
      <w:r>
        <w:t xml:space="preserve">(a) 98–106 mEq/L</w:t>
      </w:r>
    </w:p>
    <w:p>
      <w:r>
        <w:t xml:space="preserve">(b) 130–145 mEq/L</w:t>
      </w:r>
    </w:p>
    <w:p>
      <w:r>
        <w:t xml:space="preserve">(c) 60–80 mEq/L</w:t>
      </w:r>
    </w:p>
    <w:p>
      <w:r>
        <w:t xml:space="preserve">(d) 20–40 mEq/L</w:t>
      </w:r>
    </w:p>
    <w:p>
      <w:r>
        <w:t xml:space="preserve">Answer: a</w:t>
      </w:r>
    </w:p>
    <w:p>
      <w:r>
        <w:t xml:space="preserve">Solution: ✅ Correct Answer: (a) 98–106 mEq/L</w:t>
      </w:r>
    </w:p>
    <w:p>
      <w:r>
        <w:t xml:space="preserve">🧠 Clinical Rationale: Chloride is the major extracellular ANION and normally runs 98–106 mEq/L, moving with sodium. Hypochloremia occurs with vomiting (loss of HCl) and metabolic alkalosis; hyperchloremia with dehydration and metabolic acidosis.</w:t>
      </w:r>
    </w:p>
    <w:p>
      <w:r>
        <w:t xml:space="preserve">🔍 Key Clues: "Normal serum chloride" → anchor 98–106 mEq/L.</w:t>
      </w:r>
    </w:p>
    <w:p>
      <w:r>
        <w:t xml:space="preserve">❌ Why Not Other Options?</w:t>
      </w:r>
    </w:p>
    <w:p>
      <w:r>
        <w:t xml:space="preserve">(b) — 130–145 mEq/L is the normal SODIUM range, not chloride.</w:t>
      </w:r>
    </w:p>
    <w:p>
      <w:r>
        <w:t xml:space="preserve">(c) — 60–80 mEq/L is far too low for chloride.</w:t>
      </w:r>
    </w:p>
    <w:p>
      <w:r>
        <w:t xml:space="preserve">(d) — 20–40 mEq/L matches bicarbonate (22–28) loosely — still wrong for chloride.</w:t>
      </w:r>
    </w:p>
    <w:p>
      <w:r>
        <w:t xml:space="preserve">⚠️ Exam Trap: Na (135–145), K (3.5–5), Cl (98–106), HCO₃ (22–28) — the electrolytes and their ranges are a classic matching trap.</w:t>
      </w:r>
    </w:p>
    <w:p>
      <w:r>
        <w:t xml:space="preserve">💎 PNC Pearl: "Na is the cation boss (135–145), Cl the anion partner (98–106)."</w:t>
      </w:r>
    </w:p>
    <w:p>
      <w:r>
        <w:t xml:space="preserve">📌 Concept Extension: Chloride follows sodium — hypochloremia with hypokalemia often signals vomiting or diuretic use (metabolic alkalosis).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teaching a patient with a new colostomy about skin care. Which instruction is correct?</w:t>
      </w:r>
    </w:p>
    <w:p>
      <w:r>
        <w:t xml:space="preserve">(a) Clean the skin with warm water, dry well, and apply a skin barrier</w:t>
      </w:r>
    </w:p>
    <w:p>
      <w:r>
        <w:t xml:space="preserve">(b) Scrub the skin with alcohol</w:t>
      </w:r>
    </w:p>
    <w:p>
      <w:r>
        <w:t xml:space="preserve">(c) Leave the skin wet before applying the pouch</w:t>
      </w:r>
    </w:p>
    <w:p>
      <w:r>
        <w:t xml:space="preserve">(d) Apply powder directly to the stoma</w:t>
      </w:r>
    </w:p>
    <w:p>
      <w:r>
        <w:t xml:space="preserve">Answer: a</w:t>
      </w:r>
    </w:p>
    <w:p>
      <w:r>
        <w:t xml:space="preserve">Solution: ✅ Correct Answer: (a) Clean the skin with warm water, dry well, and apply a skin barrier</w:t>
      </w:r>
    </w:p>
    <w:p>
      <w:r>
        <w:t xml:space="preserve">🧠 Clinical Rationale: Peristomal skin care: clean gently with warm water (soap residue can break the pouch seal), PAT DRY completely, and apply a skin barrier/pouch cut to fit. Healthy peristomal skin prevents leakage and irritation.</w:t>
      </w:r>
    </w:p>
    <w:p>
      <w:r>
        <w:t xml:space="preserve">🔍 Key Clues: "Colostomy" + "skin care" → gentle water cleansing + drying + barrier.</w:t>
      </w:r>
    </w:p>
    <w:p>
      <w:r>
        <w:t xml:space="preserve">❌ Why Not Other Options?</w:t>
      </w:r>
    </w:p>
    <w:p>
      <w:r>
        <w:t xml:space="preserve">(b) — Alcohol dries and damages skin and interferes with pouch adhesion.</w:t>
      </w:r>
    </w:p>
    <w:p>
      <w:r>
        <w:t xml:space="preserve">(c) — Wet skin prevents the pouch from sticking and promotes maceration.</w:t>
      </w:r>
    </w:p>
    <w:p>
      <w:r>
        <w:t xml:space="preserve">(d) — Powder is used SPARINGLY on moist/excoriated skin only — never directly on the stoma (it blocks the stoma surface and pouch adhesion).</w:t>
      </w:r>
    </w:p>
    <w:p>
      <w:r>
        <w:t xml:space="preserve">⚠️ Exam Trap: "Clean with warm water, dry, barrier" is the standard triad. Stoma care questions reward gentle technique over harsh agents.</w:t>
      </w:r>
    </w:p>
    <w:p>
      <w:r>
        <w:t xml:space="preserve">💎 PNC Pearl: Colostomy teaching: change pouch every 2–3 days, empty when ⅓–½ full, cut the wafer to the stoma size.</w:t>
      </w:r>
    </w:p>
    <w:p>
      <w:r>
        <w:t xml:space="preserve">📌 Concept Extension: A healthy stoma is moist and red; pale/blue/black color signals ischemia — report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develops a sudden increase in abdominal pain, rigidity, and shock. The nurse should suspect:</w:t>
      </w:r>
    </w:p>
    <w:p>
      <w:r>
        <w:t xml:space="preserve">(a) Pancreatic necrosis or rupture with peritonitis</w:t>
      </w:r>
    </w:p>
    <w:p>
      <w:r>
        <w:t xml:space="preserve">(b) Normal recovery</w:t>
      </w:r>
    </w:p>
    <w:p>
      <w:r>
        <w:t xml:space="preserve">(c) Constipation</w:t>
      </w:r>
    </w:p>
    <w:p>
      <w:r>
        <w:t xml:space="preserve">(d) Gastritis</w:t>
      </w:r>
    </w:p>
    <w:p>
      <w:r>
        <w:t xml:space="preserve">Answer: a</w:t>
      </w:r>
    </w:p>
    <w:p>
      <w:r>
        <w:t xml:space="preserve">Solution: ✅ Correct Answer: (a) Pancreatic necrosis or rupture with peritonitis</w:t>
      </w:r>
    </w:p>
    <w:p>
      <w:r>
        <w:t xml:space="preserve">🧠 Clinical Rationale: Sudden rigidity + severe pain + SHOCK in acute pancreatitis signals a catastrophic complication — pancreatic necrosis, hemorrhage, or rupture with peritonitis. This is a surgical emergency: the nurse monitors for multi-organ failure and prepares for ICU care and possible surgery.</w:t>
      </w:r>
    </w:p>
    <w:p>
      <w:r>
        <w:t xml:space="preserve">🔍 Key Clues: "Sudden" + "rigidity" + "shock" in pancreatitis → peritonitis/necrosis — never "normal recovery."</w:t>
      </w:r>
    </w:p>
    <w:p>
      <w:r>
        <w:t xml:space="preserve">❌ Why Not Other Options?</w:t>
      </w:r>
    </w:p>
    <w:p>
      <w:r>
        <w:t xml:space="preserve">(b) — Rigidity and shock are never a normal recovery pattern.</w:t>
      </w:r>
    </w:p>
    <w:p>
      <w:r>
        <w:t xml:space="preserve">(c) — Constipation does not cause rigidity and shock.</w:t>
      </w:r>
    </w:p>
    <w:p>
      <w:r>
        <w:t xml:space="preserve">(d) — Gastritis is mild inflammation, not a cause of shock.</w:t>
      </w:r>
    </w:p>
    <w:p>
      <w:r>
        <w:t xml:space="preserve">⚠️ Exam Trap: Abdominal rigidity + shock = peritonitis until proven otherwise. In pancreatitis, that means necrosis/rupture — a "complication" answer is always right here.</w:t>
      </w:r>
    </w:p>
    <w:p>
      <w:r>
        <w:t xml:space="preserve">💎 PNC Pearl: Watch for Cullen's/Grey Turner's signs (hemorrhage) and rising lipase with falling calcium (necrosis marker).</w:t>
      </w:r>
    </w:p>
    <w:p>
      <w:r>
        <w:t xml:space="preserve">📌 Concept Extension: Severe pancreatitis mortality is high; Ranson criteria predict severity (age, glucose, WBC, LDH, AST, calcium, base deficit, fluid sequestration).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diagnosed with placenta previa and has bleeding. The nurse should:</w:t>
      </w:r>
    </w:p>
    <w:p>
      <w:r>
        <w:t xml:space="preserve">(a) Avoid vaginal examination and monitor fetal and maternal status</w:t>
      </w:r>
    </w:p>
    <w:p>
      <w:r>
        <w:t xml:space="preserve">(b) Perform a digital examination</w:t>
      </w:r>
    </w:p>
    <w:p>
      <w:r>
        <w:t xml:space="preserve">(c) Give an enema</w:t>
      </w:r>
    </w:p>
    <w:p>
      <w:r>
        <w:t xml:space="preserve">(d) Encourage the patient to walk</w:t>
      </w:r>
    </w:p>
    <w:p>
      <w:r>
        <w:t xml:space="preserve">Answer: a</w:t>
      </w:r>
    </w:p>
    <w:p>
      <w:r>
        <w:t xml:space="preserve">Solution: ✅ Correct Answer: (a) Avoid vaginal examination and monitor fetal and maternal status</w:t>
      </w:r>
    </w:p>
    <w:p>
      <w:r>
        <w:t xml:space="preserve">🧠 Clinical Rationale: Placenta previa (placenta over the internal os) causes painless bleeding in the late second/third trimester. Digital vaginal examination is STRICTLY CONTRAINDICATED — it can lacerate the placenta and cause catastrophic hemorrhage. The nurse monitors bleeding, vitals, and FHR, and prepares for cesarean delivery.</w:t>
      </w:r>
    </w:p>
    <w:p>
      <w:r>
        <w:t xml:space="preserve">🔍 Key Clues: "Placenta previa" + "bleeding" → NO vaginal exam, NO enema, monitor + prepare for delivery.</w:t>
      </w:r>
    </w:p>
    <w:p>
      <w:r>
        <w:t xml:space="preserve">❌ Why Not Other Options?</w:t>
      </w:r>
    </w:p>
    <w:p>
      <w:r>
        <w:t xml:space="preserve">(b) — A digital exam can trigger fatal hemorrhage from the placenta.</w:t>
      </w:r>
    </w:p>
    <w:p>
      <w:r>
        <w:t xml:space="preserve">(c) — Enemas are contraindicated — any pelvic manipulation is dangerous.</w:t>
      </w:r>
    </w:p>
    <w:p>
      <w:r>
        <w:t xml:space="preserve">(d) — Walking/activity is restricted with bleeding previa; bed rest and monitoring are needed.</w:t>
      </w:r>
    </w:p>
    <w:p>
      <w:r>
        <w:t xml:space="preserve">⚠️ Exam Trap: "Vaginal exam contraindicated" is THE placenta previa exam point — often asked directly or as an option.</w:t>
      </w:r>
    </w:p>
    <w:p>
      <w:r>
        <w:t xml:space="preserve">💎 PNC Pearl: Previa = PAINLESS bright red bleeding; abruption = PAINFUL dark bleeding. The pain status differentiates the two.</w:t>
      </w:r>
    </w:p>
    <w:p>
      <w:r>
        <w:t xml:space="preserve">📌 Concept Extension: Confirm with ultrasound; delivery is cesarean at 36–37 weeks (or earlier if bleeding is severe).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has a history of recurrent otitis media. The nurse should teach the parents to:</w:t>
      </w:r>
    </w:p>
    <w:p>
      <w:r>
        <w:t xml:space="preserve">(a) Complete antibiotic courses, avoid smoke exposure, and attend follow-up</w:t>
      </w:r>
    </w:p>
    <w:p>
      <w:r>
        <w:t xml:space="preserve">(b) Stop antibiotics when the pain stops</w:t>
      </w:r>
    </w:p>
    <w:p>
      <w:r>
        <w:t xml:space="preserve">(c) Ignore ear pain</w:t>
      </w:r>
    </w:p>
    <w:p>
      <w:r>
        <w:t xml:space="preserve">(d) Put oil in the ears</w:t>
      </w:r>
    </w:p>
    <w:p>
      <w:r>
        <w:t xml:space="preserve">Answer: a</w:t>
      </w:r>
    </w:p>
    <w:p>
      <w:r>
        <w:t xml:space="preserve">Solution: ✅ Correct Answer: (a) Complete antibiotic courses, avoid smoke exposure, and attend follow-up</w:t>
      </w:r>
    </w:p>
    <w:p>
      <w:r>
        <w:t xml:space="preserve">🧠 Clinical Rationale: Recurrent acute otitis media management: complete every antibiotic course (prevent resistance and mastoiditis), eliminate SECONDHAND SMOKE (a major risk factor), and keep follow-up to check for persistent effusion/hearing loss. Tympanostomy tubes may be considered for recurrent cases.</w:t>
      </w:r>
    </w:p>
    <w:p>
      <w:r>
        <w:t xml:space="preserve">🔍 Key Clues: "Recurrent otitis media" → prevention teaching: full antibiotics, no smoke, follow-up.</w:t>
      </w:r>
    </w:p>
    <w:p>
      <w:r>
        <w:t xml:space="preserve">❌ Why Not Other Options?</w:t>
      </w:r>
    </w:p>
    <w:p>
      <w:r>
        <w:t xml:space="preserve">(b) — Stopping antibiotics early allows resistant infection and complications.</w:t>
      </w:r>
    </w:p>
    <w:p>
      <w:r>
        <w:t xml:space="preserve">(c) — Ignoring ear pain risks mastoiditis and permanent hearing loss.</w:t>
      </w:r>
    </w:p>
    <w:p>
      <w:r>
        <w:t xml:space="preserve">(d) — Home oils/drops are not substitutes for treatment and can mask or worsen infection.</w:t>
      </w:r>
    </w:p>
    <w:p>
      <w:r>
        <w:t xml:space="preserve">⚠️ Exam Trap: Smoke exposure is the top modifiable risk factor for childhood OM — "avoid smoke" is the prevention answer.</w:t>
      </w:r>
    </w:p>
    <w:p>
      <w:r>
        <w:t xml:space="preserve">💎 PNC Pearl: OM prevention: breastfeeding, no smoke exposure, no bottle propping, pneumococcal/Hib vaccination.</w:t>
      </w:r>
    </w:p>
    <w:p>
      <w:r>
        <w:t xml:space="preserve">📌 Concept Extension: Watch for complications: mastoiditis (post-auricular swelling/pain), meningitis, and conductive hearing loss.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develops tardive dyskinesia after long-term antipsychotic use. The nurse should:</w:t>
      </w:r>
    </w:p>
    <w:p>
      <w:r>
        <w:t xml:space="preserve">(a) Report the involuntary movements — medication review is needed</w:t>
      </w:r>
    </w:p>
    <w:p>
      <w:r>
        <w:t xml:space="preserve">(b) Ignore the movements</w:t>
      </w:r>
    </w:p>
    <w:p>
      <w:r>
        <w:t xml:space="preserve">(c) Increase the antipsychotic</w:t>
      </w:r>
    </w:p>
    <w:p>
      <w:r>
        <w:t xml:space="preserve">(d) Restrain the patient</w:t>
      </w:r>
    </w:p>
    <w:p>
      <w:r>
        <w:t xml:space="preserve">Answer: a</w:t>
      </w:r>
    </w:p>
    <w:p>
      <w:r>
        <w:t xml:space="preserve">Solution: ✅ Correct Answer: (a) Report the involuntary movements — medication review is needed</w:t>
      </w:r>
    </w:p>
    <w:p>
      <w:r>
        <w:t xml:space="preserve">🧠 Clinical Rationale: Tardive dyskinesia — involuntary, often irreversible movements (lip smacking, tongue protrusion, grimacing, choreiform limb movements) — results from LONG-TERM antipsychotic use. It must be REPORTED: the physician reviews the regimen (dose reduction, switch to clozapine, consider VMAT2 inhibitors). The nurse monitors with the AIMS scale.</w:t>
      </w:r>
    </w:p>
    <w:p>
      <w:r>
        <w:t xml:space="preserve">🔍 Key Clues: "Tardive dyskinesia" + "long-term antipsychotic" → report for medication review — it may be irreversible.</w:t>
      </w:r>
    </w:p>
    <w:p>
      <w:r>
        <w:t xml:space="preserve">❌ Why Not Other Options?</w:t>
      </w:r>
    </w:p>
    <w:p>
      <w:r>
        <w:t xml:space="preserve">(b) — Ignoring it risks permanent, disfiguring movement disorder.</w:t>
      </w:r>
    </w:p>
    <w:p>
      <w:r>
        <w:t xml:space="preserve">(c) — Increasing the antipsychotic worsens the EPS.</w:t>
      </w:r>
    </w:p>
    <w:p>
      <w:r>
        <w:t xml:space="preserve">(d) — Restraining a patient for involuntary movements is inappropriate and distressing.</w:t>
      </w:r>
    </w:p>
    <w:p>
      <w:r>
        <w:t xml:space="preserve">⚠️ Exam Trap: Distinguish EPS: acute dystonia (early, spasm), akathisia (restlessness), parkinsonism (rigidity), tardive dyskinesia (LATE, orofacial, often irreversible).</w:t>
      </w:r>
    </w:p>
    <w:p>
      <w:r>
        <w:t xml:space="preserve">💎 PNC Pearl: "TD = late, lip-smacking, hard to reverse — report it and review the drugs." AIMS scale monitors severity.</w:t>
      </w:r>
    </w:p>
    <w:p>
      <w:r>
        <w:t xml:space="preserve">📌 Concept Extension: Clozapine has the lowest TD risk but requires blood monitoring for agranulocytosis.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"Swasthya Raksha" health card under Ayushman Bharat provides:</w:t>
      </w:r>
    </w:p>
    <w:p>
      <w:r>
        <w:t xml:space="preserve">(a) Health records and identification for beneficiaries</w:t>
      </w:r>
    </w:p>
    <w:p>
      <w:r>
        <w:t xml:space="preserve">(b) Free travel</w:t>
      </w:r>
    </w:p>
    <w:p>
      <w:r>
        <w:t xml:space="preserve">(c) Housing</w:t>
      </w:r>
    </w:p>
    <w:p>
      <w:r>
        <w:t xml:space="preserve">(d) Education loans</w:t>
      </w:r>
    </w:p>
    <w:p>
      <w:r>
        <w:t xml:space="preserve">Answer: a</w:t>
      </w:r>
    </w:p>
    <w:p>
      <w:r>
        <w:t xml:space="preserve">Solution: ✅ Correct Answer: (a) Health records and identification for beneficiaries</w:t>
      </w:r>
    </w:p>
    <w:p>
      <w:r>
        <w:t xml:space="preserve">🧠 Clinical Rationale: Under the Ayushman Bharat Digital Mission, the Ayushman Bharat Health Account (ABHA) gives each beneficiary a digital health ID that stores and links health records — enabling continuity of care, e-consultations, and portable digital health data.</w:t>
      </w:r>
    </w:p>
    <w:p>
      <w:r>
        <w:t xml:space="preserve">🔍 Key Clues: "Health card under Ayushman Bharat" → the ABHA digital health ID for records and identification.</w:t>
      </w:r>
    </w:p>
    <w:p>
      <w:r>
        <w:t xml:space="preserve">❌ Why Not Other Options?</w:t>
      </w:r>
    </w:p>
    <w:p>
      <w:r>
        <w:t xml:space="preserve">(b) — Free travel is not part of Ayushman Bharat.</w:t>
      </w:r>
    </w:p>
    <w:p>
      <w:r>
        <w:t xml:space="preserve">(c) — Housing is PMAY's domain.</w:t>
      </w:r>
    </w:p>
    <w:p>
      <w:r>
        <w:t xml:space="preserve">(d) — Education loans are separate schemes.</w:t>
      </w:r>
    </w:p>
    <w:p>
      <w:r>
        <w:t xml:space="preserve">⚠️ Exam Trap: ABHA = digital health ID + records; PMJAY = ₹5 lakh health insurance per family. The two "Ayushman" components are often confused.</w:t>
      </w:r>
    </w:p>
    <w:p>
      <w:r>
        <w:t xml:space="preserve">💎 PNC Pearl: ABHA = Ayushman Bharat Health Account (digital ID + records); PMJAY = health insurance cover of ₹5 lakh/family/year.</w:t>
      </w:r>
    </w:p>
    <w:p>
      <w:r>
        <w:t xml:space="preserve">📌 Concept Extension: The digital mission supports telemedicine (eSanjeevani) and integrated health records nationwide.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100 mg of a medication. The vial contains 50 mg/mL. The volume to give is:</w:t>
      </w:r>
    </w:p>
    <w:p>
      <w:r>
        <w:t xml:space="preserve">(a) 0.5 mL</w:t>
      </w:r>
    </w:p>
    <w:p>
      <w:r>
        <w:t xml:space="preserve">(b) 1 mL</w:t>
      </w:r>
    </w:p>
    <w:p>
      <w:r>
        <w:t xml:space="preserve">(c) 2 mL</w:t>
      </w:r>
    </w:p>
    <w:p>
      <w:r>
        <w:t xml:space="preserve">(d) 4 mL</w:t>
      </w:r>
    </w:p>
    <w:p>
      <w:r>
        <w:t xml:space="preserve">Answer: c</w:t>
      </w:r>
    </w:p>
    <w:p>
      <w:r>
        <w:t xml:space="preserve">Solution: ✅ Correct Answer: (c) 2 mL</w:t>
      </w:r>
    </w:p>
    <w:p>
      <w:r>
        <w:t xml:space="preserve">🧠 Clinical Rationale: Volume = Desired ÷ Concentration = 100 mg ÷ 50 mg/mL = 2 mL. Check: 2 × 50 = 100 mg ✓.</w:t>
      </w:r>
    </w:p>
    <w:p>
      <w:r>
        <w:t xml:space="preserve">🔍 Key Clues: "100 mg" + "50 mg/mL" → divide dose by concentration.</w:t>
      </w:r>
    </w:p>
    <w:p>
      <w:r>
        <w:t xml:space="preserve">❌ Why Not Other Options?</w:t>
      </w:r>
    </w:p>
    <w:p>
      <w:r>
        <w:t xml:space="preserve">(a) — 0.5 mL delivers 25 mg — a quarter dose.</w:t>
      </w:r>
    </w:p>
    <w:p>
      <w:r>
        <w:t xml:space="preserve">(b) — 1 mL delivers 50 mg — half the dose.</w:t>
      </w:r>
    </w:p>
    <w:p>
      <w:r>
        <w:t xml:space="preserve">(d) — 4 mL delivers 200 mg — double the dose.</w:t>
      </w:r>
    </w:p>
    <w:p>
      <w:r>
        <w:t xml:space="preserve">⚠️ Exam Trap: 100 ÷ 50 = 2 — the math is basic; the trap is choosing 1 mL (thinking "half") without dividing.</w:t>
      </w:r>
    </w:p>
    <w:p>
      <w:r>
        <w:t xml:space="preserve">💎 PNC Pearl: D ÷ H = mL; always verify by multiplying back.</w:t>
      </w:r>
    </w:p>
    <w:p>
      <w:r>
        <w:t xml:space="preserve">📌 Concept Extension: For pediatric doses, always double-check weight-based calculations with a second nurse.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cardiac output of an adult at rest is:</w:t>
      </w:r>
    </w:p>
    <w:p>
      <w:r>
        <w:t xml:space="preserve">(a) 4–8 L/min</w:t>
      </w:r>
    </w:p>
    <w:p>
      <w:r>
        <w:t xml:space="preserve">(b) 1–2 L/min</w:t>
      </w:r>
    </w:p>
    <w:p>
      <w:r>
        <w:t xml:space="preserve">(c) 15–20 L/min</w:t>
      </w:r>
    </w:p>
    <w:p>
      <w:r>
        <w:t xml:space="preserve">(d) 25–30 L/min</w:t>
      </w:r>
    </w:p>
    <w:p>
      <w:r>
        <w:t xml:space="preserve">Answer: a</w:t>
      </w:r>
    </w:p>
    <w:p>
      <w:r>
        <w:t xml:space="preserve">Solution: ✅ Correct Answer: (a) 4–8 L/min</w:t>
      </w:r>
    </w:p>
    <w:p>
      <w:r>
        <w:t xml:space="preserve">🧠 Clinical Rationale: Cardiac output (CO = HR × SV) is normally 4–8 L/min at rest in an adult. It rises with exercise, fever, and stress, and FALLS in heart failure and shock. Cardiac index (CO/body surface area) normalizes it to 2.5–4 L/min/m².</w:t>
      </w:r>
    </w:p>
    <w:p>
      <w:r>
        <w:t xml:space="preserve">🔍 Key Clues: "Normal cardiac output... at rest" → 4–8 L/min — the anchor.</w:t>
      </w:r>
    </w:p>
    <w:p>
      <w:r>
        <w:t xml:space="preserve">❌ Why Not Other Options?</w:t>
      </w:r>
    </w:p>
    <w:p>
      <w:r>
        <w:t xml:space="preserve">(b) — 1–2 L/min indicates severe low-output state (cardiogenic shock).</w:t>
      </w:r>
    </w:p>
    <w:p>
      <w:r>
        <w:t xml:space="preserve">(c) — 15–20 L/min is seen only with extreme exercise/high-output states.</w:t>
      </w:r>
    </w:p>
    <w:p>
      <w:r>
        <w:t xml:space="preserve">(d) — 25–30 L/min is beyond even high-output states like septic shock.</w:t>
      </w:r>
    </w:p>
    <w:p>
      <w:r>
        <w:t xml:space="preserve">⚠️ Exam Trap: CO = HR × SV — if you know HR ~70 and SV ~70 mL, CO ≈ 4.9 L/min — the derivation confirms the 4–8 range.</w:t>
      </w:r>
    </w:p>
    <w:p>
      <w:r>
        <w:t xml:space="preserve">💎 PNC Pearl: CO = HR × SV (4–8 L/min); cardiac index = CO ÷ BSA (2.5–4 L/min/m²).</w:t>
      </w:r>
    </w:p>
    <w:p>
      <w:r>
        <w:t xml:space="preserve">📌 Concept Extension: In heart failure CO falls → poor perfusion, oliguria, and compensatory tachycardia.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head injury has clear fluid leaking from the nose. The nurse should:</w:t>
      </w:r>
    </w:p>
    <w:p>
      <w:r>
        <w:t xml:space="preserve">(a) Test the drainage for glucose, elevate the head, and avoid packing</w:t>
      </w:r>
    </w:p>
    <w:p>
      <w:r>
        <w:t xml:space="preserve">(b) Pack the nose tightly</w:t>
      </w:r>
    </w:p>
    <w:p>
      <w:r>
        <w:t xml:space="preserve">(c) Have the patient blow the nose</w:t>
      </w:r>
    </w:p>
    <w:p>
      <w:r>
        <w:t xml:space="preserve">(d) Suction deeply</w:t>
      </w:r>
    </w:p>
    <w:p>
      <w:r>
        <w:t xml:space="preserve">Answer: a</w:t>
      </w:r>
    </w:p>
    <w:p>
      <w:r>
        <w:t xml:space="preserve">Solution: ✅ Correct Answer: (a) Test the drainage for glucose, elevate the head, and avoid packing</w:t>
      </w:r>
    </w:p>
    <w:p>
      <w:r>
        <w:t xml:space="preserve">🧠 Clinical Rationale: Clear nasal drainage after head injury may be CSF RHINORRHEA (a basilar skull fracture sign). CSF is positive for glucose (unlike normal nasal mucus on reagent strips — but glucose oxidase strips can be unreliable; the halo sign on filter paper is also used). The nurse elevates the head 30°, and AVOIDS packing, blowing, and deep suctioning — they can push infection (meningitis) into the cranium.</w:t>
      </w:r>
    </w:p>
    <w:p>
      <w:r>
        <w:t xml:space="preserve">🔍 Key Clues: "Head injury" + "clear fluid from nose" → CSF leak precautions: head up, no packing/suction/blowing, test drainage.</w:t>
      </w:r>
    </w:p>
    <w:p>
      <w:r>
        <w:t xml:space="preserve">❌ Why Not Other Options?</w:t>
      </w:r>
    </w:p>
    <w:p>
      <w:r>
        <w:t xml:space="preserve">(b) — Packing the nose forces CSF back into the cranial cavity and increases infection/ICP risk.</w:t>
      </w:r>
    </w:p>
    <w:p>
      <w:r>
        <w:t xml:space="preserve">(c) — Blowing the nose raises intracranial pressure and can worsen the leak.</w:t>
      </w:r>
    </w:p>
    <w:p>
      <w:r>
        <w:t xml:space="preserve">(d) — Deep suctioning traumatizes the area and risks meningitis.</w:t>
      </w:r>
    </w:p>
    <w:p>
      <w:r>
        <w:t xml:space="preserve">⚠️ Exam Trap: "Battle's sign" (bruising behind the ear) and "raccoon eyes" (periorbital ecchymosis) are the other basilar skull fracture clues — CSF leak + these = the triad.</w:t>
      </w:r>
    </w:p>
    <w:p>
      <w:r>
        <w:t xml:space="preserve">💎 PNC Pearl: CSF leak care: head elevated, no packing/blowing/suctioning, monitor for meningitis (fever, stiff neck), notify physician.</w:t>
      </w:r>
    </w:p>
    <w:p>
      <w:r>
        <w:t xml:space="preserve">📌 Concept Extension: Don't insert NG tubes through the nose in basilar skull fractures — use the oral route to avoid intracranial placement.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