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total cholesterol level considered desirable is:</w:t>
      </w:r>
    </w:p>
    <w:p>
      <w:r>
        <w:t xml:space="preserve">(a) Less than 200 mg/dL</w:t>
      </w:r>
    </w:p>
    <w:p>
      <w:r>
        <w:t xml:space="preserve">(b) 250–300 mg/dL</w:t>
      </w:r>
    </w:p>
    <w:p>
      <w:r>
        <w:t xml:space="preserve">(c) 350–400 mg/dL</w:t>
      </w:r>
    </w:p>
    <w:p>
      <w:r>
        <w:t xml:space="preserve">(d) 500 mg/dL</w:t>
      </w:r>
    </w:p>
    <w:p>
      <w:r>
        <w:t xml:space="preserve">Answer: a</w:t>
      </w:r>
    </w:p>
    <w:p>
      <w:r>
        <w:t xml:space="preserve">Solution: ✅ Correct Answer: (a) Less than 200 mg/dL</w:t>
      </w:r>
    </w:p>
    <w:p>
      <w:r>
        <w:t xml:space="preserve">🧠 Clinical Rationale: Desirable total cholesterol is &lt;200 mg/dL; 200–239 = borderline high; ≥240 = high. Optimal LDL &lt;100 mg/dL, HDL &gt;60 mg/dL is protective. Dyslipidemia is managed with diet, exercise, and statins.</w:t>
      </w:r>
    </w:p>
    <w:p>
      <w:r>
        <w:t xml:space="preserve">🔍 Key Clues: "Desirable total cholesterol" → the &lt;200 mg/dL threshold.</w:t>
      </w:r>
    </w:p>
    <w:p>
      <w:r>
        <w:t xml:space="preserve">❌ Why Not Other Options?</w:t>
      </w:r>
    </w:p>
    <w:p>
      <w:r>
        <w:t xml:space="preserve">(b) — 250–300 mg/dL is clearly high — a cardiovascular risk.</w:t>
      </w:r>
    </w:p>
    <w:p>
      <w:r>
        <w:t xml:space="preserve">(c) — 350–400 mg/dL is very high.</w:t>
      </w:r>
    </w:p>
    <w:p>
      <w:r>
        <w:t xml:space="preserve">(d) — 500 mg/dL is extreme hypercholesterolemia (familial).</w:t>
      </w:r>
    </w:p>
    <w:p>
      <w:r>
        <w:t xml:space="preserve">⚠️ Exam Trap: The three anchors: &lt;200 desirable, 200–239 borderline, ≥240 high — plus LDL &lt;100 optimal. The bands are direct facts.</w:t>
      </w:r>
    </w:p>
    <w:p>
      <w:r>
        <w:t xml:space="preserve">💎 PNC Pearl: "Cholesterol &lt;200 = good; LDL &lt;100 = optimal; HDL &gt;60 = protective."</w:t>
      </w:r>
    </w:p>
    <w:p>
      <w:r>
        <w:t xml:space="preserve">📌 Concept Extension: Total cholesterol = LDL + HDL + (triglycerides/5) — the Friedewald formula.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suprapubic catheter. The nurse should:</w:t>
      </w:r>
    </w:p>
    <w:p>
      <w:r>
        <w:t xml:space="preserve">(a) Monitor urine output, keep the system closed, and observe the insertion site</w:t>
      </w:r>
    </w:p>
    <w:p>
      <w:r>
        <w:t xml:space="preserve">(b) Remove the catheter daily</w:t>
      </w:r>
    </w:p>
    <w:p>
      <w:r>
        <w:t xml:space="preserve">(c) Open the system frequently</w:t>
      </w:r>
    </w:p>
    <w:p>
      <w:r>
        <w:t xml:space="preserve">(d) Restrict fluids</w:t>
      </w:r>
    </w:p>
    <w:p>
      <w:r>
        <w:t xml:space="preserve">Answer: a</w:t>
      </w:r>
    </w:p>
    <w:p>
      <w:r>
        <w:t xml:space="preserve">Solution: ✅ Correct Answer: (a) Monitor urine output, keep the system closed, and observe the insertion site</w:t>
      </w:r>
    </w:p>
    <w:p>
      <w:r>
        <w:t xml:space="preserve">🧠 Clinical Rationale: Suprapubic catheter care mirrors CAUTI prevention: maintain the CLOSED drainage system, monitor urine output and character, OBSERVE THE INSERTION SITE (redness, discharge, leakage), and ensure fluid intake. Aseptic technique is used for all handling.</w:t>
      </w:r>
    </w:p>
    <w:p>
      <w:r>
        <w:t xml:space="preserve">🔍 Key Clues: "Suprapubic catheter" → closed system + urine monitoring + site observation.</w:t>
      </w:r>
    </w:p>
    <w:p>
      <w:r>
        <w:t xml:space="preserve">❌ Why Not Other Options?</w:t>
      </w:r>
    </w:p>
    <w:p>
      <w:r>
        <w:t xml:space="preserve">(b) — Catheters are changed per protocol (weeks), never daily.</w:t>
      </w:r>
    </w:p>
    <w:p>
      <w:r>
        <w:t xml:space="preserve">(c) — Opening the system frequently invites infection.</w:t>
      </w:r>
    </w:p>
    <w:p>
      <w:r>
        <w:t xml:space="preserve">(d) — Fluids are encouraged (not restricted) to maintain urine flow.</w:t>
      </w:r>
    </w:p>
    <w:p>
      <w:r>
        <w:t xml:space="preserve">⚠️ Exam Trap: Any catheter question: "closed system + below bladder + site watch" is the universal bundle.</w:t>
      </w:r>
    </w:p>
    <w:p>
      <w:r>
        <w:t xml:space="preserve">💎 PNC Pearl: Suprapubic catheter: closed system, site care, urine output, secure catheter, report fever/dysuria.</w:t>
      </w:r>
    </w:p>
    <w:p>
      <w:r>
        <w:t xml:space="preserve">📌 Concept Extension: Suprapubic insertion site is above the pubic bone — an alternative when urethral catheterization is contraindicated.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diabetic ketoacidosis is being treated with an insulin infusion. The nurse should monitor:</w:t>
      </w:r>
    </w:p>
    <w:p>
      <w:r>
        <w:t xml:space="preserve">(a) Blood glucose, potassium, and urine ketones</w:t>
      </w:r>
    </w:p>
    <w:p>
      <w:r>
        <w:t xml:space="preserve">(b) Only temperature</w:t>
      </w:r>
    </w:p>
    <w:p>
      <w:r>
        <w:t xml:space="preserve">(c) Only weight</w:t>
      </w:r>
    </w:p>
    <w:p>
      <w:r>
        <w:t xml:space="preserve">(d) Only appetite</w:t>
      </w:r>
    </w:p>
    <w:p>
      <w:r>
        <w:t xml:space="preserve">Answer: a</w:t>
      </w:r>
    </w:p>
    <w:p>
      <w:r>
        <w:t xml:space="preserve">Solution: ✅ Correct Answer: (a) Blood glucose, potassium, and urine ketones</w:t>
      </w:r>
    </w:p>
    <w:p>
      <w:r>
        <w:t xml:space="preserve">🧠 Clinical Rationale: DKA treatment (insulin infusion + IV fluids + electrolyte replacement) demands monitoring of: BLOOD GLUCOSE (hourly initially), POTASSIUM (falls as insulin drives K into cells and acidosis corrects — hypokalemia is a real risk), and KETONES (urine/serum — the resolution marker). The nurse also watches for hypoglycemia.</w:t>
      </w:r>
    </w:p>
    <w:p>
      <w:r>
        <w:t xml:space="preserve">🔍 Key Clues: "DKA" + "insulin infusion" → the monitoring triad: glucose + potassium + ketones.</w:t>
      </w:r>
    </w:p>
    <w:p>
      <w:r>
        <w:t xml:space="preserve">❌ Why Not Other Options?</w:t>
      </w:r>
    </w:p>
    <w:p>
      <w:r>
        <w:t xml:space="preserve">(b) — Temperature is not the DKA monitoring focus.</w:t>
      </w:r>
    </w:p>
    <w:p>
      <w:r>
        <w:t xml:space="preserve">(c) — Weight is not the acute DKA parameter.</w:t>
      </w:r>
    </w:p>
    <w:p>
      <w:r>
        <w:t xml:space="preserve">(d) — Appetite is irrelevant to the emergency.</w:t>
      </w:r>
    </w:p>
    <w:p>
      <w:r>
        <w:t xml:space="preserve">⚠️ Exam Trap: "Insulin for DKA drops potassium — give K with the infusion" is the classic pharmacology-safety point.</w:t>
      </w:r>
    </w:p>
    <w:p>
      <w:r>
        <w:t xml:space="preserve">💎 PNC Pearl: DKA: glucose hourly, K+ before and during insulin, ketones, pH — "treat the K, then the glucose."</w:t>
      </w:r>
    </w:p>
    <w:p>
      <w:r>
        <w:t xml:space="preserve">📌 Concept Extension: DKA triggers: missed insulin, infection, MI, stress — anion gap metabolic acidosis with ketonemia.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40 weeks of gestation is in the second stage of labor. The nurse notes the fetal heart rate drops to 90 bpm with slow recovery. The nurse should:</w:t>
      </w:r>
    </w:p>
    <w:p>
      <w:r>
        <w:t xml:space="preserve">(a) Reposition the patient, give oxygen, and notify the physician</w:t>
      </w:r>
    </w:p>
    <w:p>
      <w:r>
        <w:t xml:space="preserve">(b) Reassure the patient</w:t>
      </w:r>
    </w:p>
    <w:p>
      <w:r>
        <w:t xml:space="preserve">(c) Wait</w:t>
      </w:r>
    </w:p>
    <w:p>
      <w:r>
        <w:t xml:space="preserve">(d) Discharge the patient</w:t>
      </w:r>
    </w:p>
    <w:p>
      <w:r>
        <w:t xml:space="preserve">Answer: a</w:t>
      </w:r>
    </w:p>
    <w:p>
      <w:r>
        <w:t xml:space="preserve">Solution: ✅ Correct Answer: (a) Reposition the patient, give oxygen, and notify the physician</w:t>
      </w:r>
    </w:p>
    <w:p>
      <w:r>
        <w:t xml:space="preserve">🧠 Clinical Rationale: FHR 90 bpm (bradycardia) with SLOW recovery = fetal distress — the intrauterine resuscitation bundle: REPOSITION (left lateral), OXYGEN, IV fluids, and immediate PHYSICIAN NOTIFICATION. The delivery may need to be expedited (vacuum/forceps/cesarean).</w:t>
      </w:r>
    </w:p>
    <w:p>
      <w:r>
        <w:t xml:space="preserve">🔍 Key Clues: "FHR drops to 90 with slow recovery" → bradycardia + slow recovery = distress → reposition + O₂ + notify.</w:t>
      </w:r>
    </w:p>
    <w:p>
      <w:r>
        <w:t xml:space="preserve">❌ Why Not Other Options?</w:t>
      </w:r>
    </w:p>
    <w:p>
      <w:r>
        <w:t xml:space="preserve">(b) — Reassurance without action delays delivery of a distressed fetus.</w:t>
      </w:r>
    </w:p>
    <w:p>
      <w:r>
        <w:t xml:space="preserve">(c) — Waiting risks worsening hypoxia and fetal brain injury.</w:t>
      </w:r>
    </w:p>
    <w:p>
      <w:r>
        <w:t xml:space="preserve">(d) — Discharging a patient in labor with fetal distress is unsafe.</w:t>
      </w:r>
    </w:p>
    <w:p>
      <w:r>
        <w:t xml:space="preserve">⚠️ Exam Trap: "Slow recovery" is the key phrase — it distinguishes pathological from a brief, benign dip.</w:t>
      </w:r>
    </w:p>
    <w:p>
      <w:r>
        <w:t xml:space="preserve">💎 PNC Pearl: Fetal distress bundle: left lateral, O₂, fluids, stop oxytocin, notify — be ready for operative delivery.</w:t>
      </w:r>
    </w:p>
    <w:p>
      <w:r>
        <w:t xml:space="preserve">📌 Concept Extension: Late decelerations (placental insufficiency) and variable (cord) need the same first-line bundle.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with a head injury is being assessed. Which finding indicates raised intracranial pressure in a child?</w:t>
      </w:r>
    </w:p>
    <w:p>
      <w:r>
        <w:t xml:space="preserve">(a) Bulging fontanelle (in infants) with headache and vomiting</w:t>
      </w:r>
    </w:p>
    <w:p>
      <w:r>
        <w:t xml:space="preserve">(b) Normal behavior</w:t>
      </w:r>
    </w:p>
    <w:p>
      <w:r>
        <w:t xml:space="preserve">(c) Weight gain</w:t>
      </w:r>
    </w:p>
    <w:p>
      <w:r>
        <w:t xml:space="preserve">(d) Diarrhea</w:t>
      </w:r>
    </w:p>
    <w:p>
      <w:r>
        <w:t xml:space="preserve">Answer: a</w:t>
      </w:r>
    </w:p>
    <w:p>
      <w:r>
        <w:t xml:space="preserve">Solution: ✅ Correct Answer: (a) Bulging fontanelle (in infants) with headache and vomiting</w:t>
      </w:r>
    </w:p>
    <w:p>
      <w:r>
        <w:t xml:space="preserve">🧠 Clinical Rationale: Raised ICP in children: HEADACHE, VOMITING (often projectile), altered consciousness, and — in infants with open fontanelles — a BULGING, tense fontanelle. Later signs: pupillary changes, bradycardia, hypertension (Cushing's triad). The nurse monitors neuro status and notifies promptly.</w:t>
      </w:r>
    </w:p>
    <w:p>
      <w:r>
        <w:t xml:space="preserve">🔍 Key Clues: "Raised ICP in a child" → headache + vomiting + bulging fontanelle (infant).</w:t>
      </w:r>
    </w:p>
    <w:p>
      <w:r>
        <w:t xml:space="preserve">❌ Why Not Other Options?</w:t>
      </w:r>
    </w:p>
    <w:p>
      <w:r>
        <w:t xml:space="preserve">(b) — Normal behavior does not accompany raised ICP.</w:t>
      </w:r>
    </w:p>
    <w:p>
      <w:r>
        <w:t xml:space="preserve">(c) — Weight gain is not an ICP sign.</w:t>
      </w:r>
    </w:p>
    <w:p>
      <w:r>
        <w:t xml:space="preserve">(d) — Diarrhea is unrelated to intracranial pressure.</w:t>
      </w:r>
    </w:p>
    <w:p>
      <w:r>
        <w:t xml:space="preserve">⚠️ Exam Trap: Cushing's triad (hypertension + bradycardia + irregular respirations) = late, ominous ICP sign — know it as the emergency bell.</w:t>
      </w:r>
    </w:p>
    <w:p>
      <w:r>
        <w:t xml:space="preserve">💎 PNC Pearl: Pediatric ICP: headache, projectile vomiting, sunset eyes, bulging fontanelle, altered consciousness.</w:t>
      </w:r>
    </w:p>
    <w:p>
      <w:r>
        <w:t xml:space="preserve">📌 Concept Extension: In infants, a SUNKEN fontanelle = dehydration; BULGING = raised ICP — direction matters.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obsessive-compulsive disorder is on fluoxetine. The nurse should teach the patient that:</w:t>
      </w:r>
    </w:p>
    <w:p>
      <w:r>
        <w:t xml:space="preserve">(a) Full benefit may take 4–6 weeks and the drug should not be stopped abruptly</w:t>
      </w:r>
    </w:p>
    <w:p>
      <w:r>
        <w:t xml:space="preserve">(b) It works immediately</w:t>
      </w:r>
    </w:p>
    <w:p>
      <w:r>
        <w:t xml:space="preserve">(c) It is addictive</w:t>
      </w:r>
    </w:p>
    <w:p>
      <w:r>
        <w:t xml:space="preserve">(d) It must be taken only during rituals</w:t>
      </w:r>
    </w:p>
    <w:p>
      <w:r>
        <w:t xml:space="preserve">Answer: a</w:t>
      </w:r>
    </w:p>
    <w:p>
      <w:r>
        <w:t xml:space="preserve">Solution: ✅ Correct Answer: (a) Full benefit may take 4–6 weeks and the drug should not be stopped abruptly</w:t>
      </w:r>
    </w:p>
    <w:p>
      <w:r>
        <w:t xml:space="preserve">🧠 Clinical Rationale: Fluoxetine (SSRI) treats OCD at higher doses and takes 4–6+ weeks for full effect. It is NON-ADDICTIVE and must be TAPERED, never stopped abruptly (discontinuation syndrome, relapse). The nurse supports adherence and monitors side effects.</w:t>
      </w:r>
    </w:p>
    <w:p>
      <w:r>
        <w:t xml:space="preserve">🔍 Key Clues: "OCD" + "fluoxetine" → slow onset (4–6 weeks) + taper, never abrupt stop.</w:t>
      </w:r>
    </w:p>
    <w:p>
      <w:r>
        <w:t xml:space="preserve">❌ Why Not Other Options?</w:t>
      </w:r>
    </w:p>
    <w:p>
      <w:r>
        <w:t xml:space="preserve">(b) — SSRIs are not immediate — that's the benzo profile.</w:t>
      </w:r>
    </w:p>
    <w:p>
      <w:r>
        <w:t xml:space="preserve">(c) — SSRIs are not addictive.</w:t>
      </w:r>
    </w:p>
    <w:p>
      <w:r>
        <w:t xml:space="preserve">(d) — "Only during rituals" is nonsense — SSRIs are taken daily.</w:t>
      </w:r>
    </w:p>
    <w:p>
      <w:r>
        <w:t xml:space="preserve">⚠️ Exam Trap: OCD needs HIGHER SSRI doses and longer duration — the 4–6+ week onset and taper teaching are the points.</w:t>
      </w:r>
    </w:p>
    <w:p>
      <w:r>
        <w:t xml:space="preserve">💎 PNC Pearl: OCD: SSRI (fluoxetine/sertraline) + ERP therapy; daily dosing, 4–6 weeks to effect, taper at the end.</w:t>
      </w:r>
    </w:p>
    <w:p>
      <w:r>
        <w:t xml:space="preserve">📌 Concept Extension: Fluoxetine has a long half-life — withdrawal symptoms are milder but can persist.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Suryodaya Yojana" provides free electricity to:</w:t>
      </w:r>
    </w:p>
    <w:p>
      <w:r>
        <w:t xml:space="preserve">(a) One crore households with rooftop solar</w:t>
      </w:r>
    </w:p>
    <w:p>
      <w:r>
        <w:t xml:space="preserve">(b) Only industries</w:t>
      </w:r>
    </w:p>
    <w:p>
      <w:r>
        <w:t xml:space="preserve">(c) Only schools</w:t>
      </w:r>
    </w:p>
    <w:p>
      <w:r>
        <w:t xml:space="preserve">(d) Government offices</w:t>
      </w:r>
    </w:p>
    <w:p>
      <w:r>
        <w:t xml:space="preserve">Answer: a</w:t>
      </w:r>
    </w:p>
    <w:p>
      <w:r>
        <w:t xml:space="preserve">Solution: ✅ Correct Answer: (a) One crore households with rooftop solar</w:t>
      </w:r>
    </w:p>
    <w:p>
      <w:r>
        <w:t xml:space="preserve">🧠 Clinical Rationale: PM Suryodaya Yojana (launched January 2024) aims to provide free electricity (up to 300 units/month) to ONE CRORE households through ROOFTOP SOLAR installations — cutting power bills and promoting renewable energy.</w:t>
      </w:r>
    </w:p>
    <w:p>
      <w:r>
        <w:t xml:space="preserve">🔍 Key Clues: "Suryodaya" = sunrise/solar → rooftop solar for households.</w:t>
      </w:r>
    </w:p>
    <w:p>
      <w:r>
        <w:t xml:space="preserve">❌ Why Not Other Options?</w:t>
      </w:r>
    </w:p>
    <w:p>
      <w:r>
        <w:t xml:space="preserve">(b) — The scheme targets households, not industries.</w:t>
      </w:r>
    </w:p>
    <w:p>
      <w:r>
        <w:t xml:space="preserve">(c) — Schools are not the target group.</w:t>
      </w:r>
    </w:p>
    <w:p>
      <w:r>
        <w:t xml:space="preserve">(d) — Government offices are not the scheme's focus.</w:t>
      </w:r>
    </w:p>
    <w:p>
      <w:r>
        <w:t xml:space="preserve">⚠️ Exam Trap: "Surya = sun" — solar schemes: PM Suryodaya = rooftop solar for 1 crore homes; KUSUM = solar for agriculture.</w:t>
      </w:r>
    </w:p>
    <w:p>
      <w:r>
        <w:t xml:space="preserve">💎 PNC Pearl: PM Suryodaya: 1 crore rooftop solar households, up to 300 free units/month, DISCOM-based implementation.</w:t>
      </w:r>
    </w:p>
    <w:p>
      <w:r>
        <w:t xml:space="preserve">📌 Concept Extension: The scheme aligns with India's 500 GW non-fossil energy target by 2030.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120 mg of a medication. The tablets are 40 mg each. How many tablets are needed?</w:t>
      </w:r>
    </w:p>
    <w:p>
      <w:r>
        <w:t xml:space="preserve">(a) 2 tablets</w:t>
      </w:r>
    </w:p>
    <w:p>
      <w:r>
        <w:t xml:space="preserve">(b) 3 tablets</w:t>
      </w:r>
    </w:p>
    <w:p>
      <w:r>
        <w:t xml:space="preserve">(c) 4 tablets</w:t>
      </w:r>
    </w:p>
    <w:p>
      <w:r>
        <w:t xml:space="preserve">(d) 6 tablets</w:t>
      </w:r>
    </w:p>
    <w:p>
      <w:r>
        <w:t xml:space="preserve">Answer: b</w:t>
      </w:r>
    </w:p>
    <w:p>
      <w:r>
        <w:t xml:space="preserve">Solution: ✅ Correct Answer: (b) 3 tablets</w:t>
      </w:r>
    </w:p>
    <w:p>
      <w:r>
        <w:t xml:space="preserve">🧠 Clinical Rationale: Tablets = Desired ÷ Have = 120 mg ÷ 40 mg = 3 tablets. Check: 3 × 40 = 120 mg ✓.</w:t>
      </w:r>
    </w:p>
    <w:p>
      <w:r>
        <w:t xml:space="preserve">🔍 Key Clues: "120 mg" + "40 mg tablets" → divide dose by tablet strength.</w:t>
      </w:r>
    </w:p>
    <w:p>
      <w:r>
        <w:t xml:space="preserve">❌ Why Not Other Options?</w:t>
      </w:r>
    </w:p>
    <w:p>
      <w:r>
        <w:t xml:space="preserve">(a) — 2 tablets give 80 mg — short.</w:t>
      </w:r>
    </w:p>
    <w:p>
      <w:r>
        <w:t xml:space="preserve">(c) — 4 tablets give 160 mg — an overdose.</w:t>
      </w:r>
    </w:p>
    <w:p>
      <w:r>
        <w:t xml:space="preserve">(d) — 6 tablets give 240 mg — double the dose.</w:t>
      </w:r>
    </w:p>
    <w:p>
      <w:r>
        <w:t xml:space="preserve">⚠️ Exam Trap: 120 ÷ 40 = 3 — verify by multiplication.</w:t>
      </w:r>
    </w:p>
    <w:p>
      <w:r>
        <w:t xml:space="preserve">💎 PNC Pearl: D ÷ H = tablets; self-check: tablets × strength = dose.</w:t>
      </w:r>
    </w:p>
    <w:p>
      <w:r>
        <w:t xml:space="preserve">📌 Concept Extension: If many tablets are needed, ask pharmacy for a higher-strength formulation.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systolic blood pressure range is:</w:t>
      </w:r>
    </w:p>
    <w:p>
      <w:r>
        <w:t xml:space="preserve">(a) 90–120 mmHg</w:t>
      </w:r>
    </w:p>
    <w:p>
      <w:r>
        <w:t xml:space="preserve">(b) 150–180 mmHg</w:t>
      </w:r>
    </w:p>
    <w:p>
      <w:r>
        <w:t xml:space="preserve">(c) 40–60 mmHg</w:t>
      </w:r>
    </w:p>
    <w:p>
      <w:r>
        <w:t xml:space="preserve">(d) 200–240 mmHg</w:t>
      </w:r>
    </w:p>
    <w:p>
      <w:r>
        <w:t xml:space="preserve">Answer: a</w:t>
      </w:r>
    </w:p>
    <w:p>
      <w:r>
        <w:t xml:space="preserve">Solution: ✅ Correct Answer: (a) 90–120 mmHg</w:t>
      </w:r>
    </w:p>
    <w:p>
      <w:r>
        <w:t xml:space="preserve">🧠 Clinical Rationale: Normal adult systolic BP is &lt;120 mmHg (90–120 is the normal/low-normal band). Stage 1 hypertension = 130–139; stage 2 = ≥140. Accurate measurement requires the correct cuff size, positioning, and rest before the reading.</w:t>
      </w:r>
    </w:p>
    <w:p>
      <w:r>
        <w:t xml:space="preserve">🔍 Key Clues: "Normal adult systolic BP" → &lt;120 mmHg (90–120 band).</w:t>
      </w:r>
    </w:p>
    <w:p>
      <w:r>
        <w:t xml:space="preserve">❌ Why Not Other Options?</w:t>
      </w:r>
    </w:p>
    <w:p>
      <w:r>
        <w:t xml:space="preserve">(b) — 150–180 mmHg is stage 2/hypertensive crisis territory.</w:t>
      </w:r>
    </w:p>
    <w:p>
      <w:r>
        <w:t xml:space="preserve">(c) — 40–60 mmHg is shock-range systolic pressure.</w:t>
      </w:r>
    </w:p>
    <w:p>
      <w:r>
        <w:t xml:space="preserve">(d) — 200–240 mmHg is a hypertensive emergency.</w:t>
      </w:r>
    </w:p>
    <w:p>
      <w:r>
        <w:t xml:space="preserve">⚠️ Exam Trap: BP classification (ACC/AHA 2017): normal &lt;120/80; elevated 120–129/&lt;80; stage 1: 130–139/80–89; stage 2: ≥140/90.</w:t>
      </w:r>
    </w:p>
    <w:p>
      <w:r>
        <w:t xml:space="preserve">💎 PNC Pearl: "Systolic &lt;120 and diastolic &lt;80 = normal; ≥140/90 = hypertension (Indian guideline)."</w:t>
      </w:r>
    </w:p>
    <w:p>
      <w:r>
        <w:t xml:space="preserve">📌 Concept Extension: Use the correct cuff size — a small cuff overestimates BP; a large cuff underestimates.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chest tube is being transported to radiology. The nurse should:</w:t>
      </w:r>
    </w:p>
    <w:p>
      <w:r>
        <w:t xml:space="preserve">(a) Keep the drainage system below the chest and upright</w:t>
      </w:r>
    </w:p>
    <w:p>
      <w:r>
        <w:t xml:space="preserve">(b) Clamp the tube during transport</w:t>
      </w:r>
    </w:p>
    <w:p>
      <w:r>
        <w:t xml:space="preserve">(c) Place the system above the chest</w:t>
      </w:r>
    </w:p>
    <w:p>
      <w:r>
        <w:t xml:space="preserve">(d) Disconnect the suction</w:t>
      </w:r>
    </w:p>
    <w:p>
      <w:r>
        <w:t xml:space="preserve">Answer: a</w:t>
      </w:r>
    </w:p>
    <w:p>
      <w:r>
        <w:t xml:space="preserve">Solution: ✅ Correct Answer: (a) Keep the drainage system below the chest and upright</w:t>
      </w:r>
    </w:p>
    <w:p>
      <w:r>
        <w:t xml:space="preserve">🧠 Clinical Rationale: During transport, the chest drainage system stays BELOW CHEST LEVEL and UPRIGHT — maintaining gravity drainage and the water seal. The tube is generally NOT clamped during transport (clamping can cause tension pneumothorax if there is an air leak).</w:t>
      </w:r>
    </w:p>
    <w:p>
      <w:r>
        <w:t xml:space="preserve">🔍 Key Clues: "Transported to radiology" + "chest tube" → system below chest, upright, unclamped.</w:t>
      </w:r>
    </w:p>
    <w:p>
      <w:r>
        <w:t xml:space="preserve">❌ Why Not Other Options?</w:t>
      </w:r>
    </w:p>
    <w:p>
      <w:r>
        <w:t xml:space="preserve">(b) — Clamping during transport risks tension pneumothorax — avoided unless specifically ordered.</w:t>
      </w:r>
    </w:p>
    <w:p>
      <w:r>
        <w:t xml:space="preserve">(c) — Raising the system above the chest lets fluid/air flow back into the pleural space.</w:t>
      </w:r>
    </w:p>
    <w:p>
      <w:r>
        <w:t xml:space="preserve">(d) — Disconnecting suction breaks the system — suction is maintained (or the unit transported with a portable system).</w:t>
      </w:r>
    </w:p>
    <w:p>
      <w:r>
        <w:t xml:space="preserve">⚠️ Exam Trap: "Clamp only briefly and only when ordered (trial of clamping/leak check)" — otherwise clamping = tension pneumothorax risk.</w:t>
      </w:r>
    </w:p>
    <w:p>
      <w:r>
        <w:t xml:space="preserve">💎 PNC Pearl: Chest tube transport: keep the system below chest, upright, intact — never clamp routinely.</w:t>
      </w:r>
    </w:p>
    <w:p>
      <w:r>
        <w:t xml:space="preserve">📌 Concept Extension: If the system tips over, return it upright immediately and check the water seal level.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triglyceride level is:</w:t>
      </w:r>
    </w:p>
    <w:p>
      <w:r>
        <w:t xml:space="preserve">(a) Less than 150 mg/dL (desirable)</w:t>
      </w:r>
    </w:p>
    <w:p>
      <w:r>
        <w:t xml:space="preserve">(b) 300–400 mg/dL</w:t>
      </w:r>
    </w:p>
    <w:p>
      <w:r>
        <w:t xml:space="preserve">(c) 500–600 mg/dL</w:t>
      </w:r>
    </w:p>
    <w:p>
      <w:r>
        <w:t xml:space="preserve">(d) 800 mg/dL</w:t>
      </w:r>
    </w:p>
    <w:p>
      <w:r>
        <w:t xml:space="preserve">Answer: a</w:t>
      </w:r>
    </w:p>
    <w:p>
      <w:r>
        <w:t xml:space="preserve">Solution: ✅ Correct Answer: (a) Less than 150 mg/dL (desirable)</w:t>
      </w:r>
    </w:p>
    <w:p>
      <w:r>
        <w:t xml:space="preserve">🧠 Clinical Rationale: Desirable triglycerides are &lt;150 mg/dL; 150–199 borderline; ≥200 high. Elevated triglycerides increase cardiovascular and pancreatitis risk — managed with reduced sugar/alcohol, exercise, weight loss, and fibrates.</w:t>
      </w:r>
    </w:p>
    <w:p>
      <w:r>
        <w:t xml:space="preserve">🔍 Key Clues: "Normal/desirable triglycerides" → the &lt;150 mg/dL anchor.</w:t>
      </w:r>
    </w:p>
    <w:p>
      <w:r>
        <w:t xml:space="preserve">❌ Why Not Other Options?</w:t>
      </w:r>
    </w:p>
    <w:p>
      <w:r>
        <w:t xml:space="preserve">(b) — 300–400 mg/dL is very high — pancreatitis risk territory.</w:t>
      </w:r>
    </w:p>
    <w:p>
      <w:r>
        <w:t xml:space="preserve">(c) — 500–600 mg/dL is severely elevated.</w:t>
      </w:r>
    </w:p>
    <w:p>
      <w:r>
        <w:t xml:space="preserve">(d) — 800 mg/dL is extreme (acute pancreatitis risk).</w:t>
      </w:r>
    </w:p>
    <w:p>
      <w:r>
        <w:t xml:space="preserve">⚠️ Exam Trap: The lipid anchors: cholesterol &lt;200, triglycerides &lt;150, LDL &lt;100, HDL &gt;60 — the four numbers are a matching trap.</w:t>
      </w:r>
    </w:p>
    <w:p>
      <w:r>
        <w:t xml:space="preserve">💎 PNC Pearl: "Triglycerides &lt;150; fasting sample required for accuracy."</w:t>
      </w:r>
    </w:p>
    <w:p>
      <w:r>
        <w:t xml:space="preserve">📌 Concept Extension: Triglycerides &gt;500 mg/dL — especially &gt;1000 — carry acute pancreatitis risk; fibrates are the drug class.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barium swallow (upper GI series). The nurse should:</w:t>
      </w:r>
    </w:p>
    <w:p>
      <w:r>
        <w:t xml:space="preserve">(a) Keep the patient NPO after midnight and explain the contrast drink</w:t>
      </w:r>
    </w:p>
    <w:p>
      <w:r>
        <w:t xml:space="preserve">(b) Give a heavy breakfast</w:t>
      </w:r>
    </w:p>
    <w:p>
      <w:r>
        <w:t xml:space="preserve">(c) Skip preparation</w:t>
      </w:r>
    </w:p>
    <w:p>
      <w:r>
        <w:t xml:space="preserve">(d) Restrict fluids permanently</w:t>
      </w:r>
    </w:p>
    <w:p>
      <w:r>
        <w:t xml:space="preserve">Answer: a</w:t>
      </w:r>
    </w:p>
    <w:p>
      <w:r>
        <w:t xml:space="preserve">Solution: ✅ Correct Answer: (a) Keep the patient NPO after midnight and explain the contrast drink</w:t>
      </w:r>
    </w:p>
    <w:p>
      <w:r>
        <w:t xml:space="preserve">🧠 Clinical Rationale: A barium swallow (upper GI series) requires NPO (usually after midnight, 8 hours) so the esophagus and stomach are empty, then the patient drinks BARIUM contrast for X-ray visualization. AFTERWARD, fluids are ENCOURAGED to expel the barium and prevent constipation/impaction.</w:t>
      </w:r>
    </w:p>
    <w:p>
      <w:r>
        <w:t xml:space="preserve">🔍 Key Clues: "Barium swallow (upper GI series)" → NPO + barium drink.</w:t>
      </w:r>
    </w:p>
    <w:p>
      <w:r>
        <w:t xml:space="preserve">❌ Why Not Other Options?</w:t>
      </w:r>
    </w:p>
    <w:p>
      <w:r>
        <w:t xml:space="preserve">(b) — A heavy breakfast fills the stomach and ruins the study.</w:t>
      </w:r>
    </w:p>
    <w:p>
      <w:r>
        <w:t xml:space="preserve">(c) — Skipping preparation produces non-diagnostic images.</w:t>
      </w:r>
    </w:p>
    <w:p>
      <w:r>
        <w:t xml:space="preserve">(d) — Fluids are ENCOURAGED afterward (to clear barium), not restricted.</w:t>
      </w:r>
    </w:p>
    <w:p>
      <w:r>
        <w:t xml:space="preserve">⚠️ Exam Trap: Post-procedure barium care = fluids + laxatives (prevent impaction); stool will appear white/light until cleared.</w:t>
      </w:r>
    </w:p>
    <w:p>
      <w:r>
        <w:t xml:space="preserve">💎 PNC Pearl: Barium swallow: NPO 8 hrs, barium contrast, fluids after — report if no bowel movement in 2–3 days.</w:t>
      </w:r>
    </w:p>
    <w:p>
      <w:r>
        <w:t xml:space="preserve">📌 Concept Extension: Barium is contraindicated if a perforation is suspected (leaks into the peritoneum) — use water-soluble contrast instead.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renal failure on hemodialysis is at risk for which complication between sessions?</w:t>
      </w:r>
    </w:p>
    <w:p>
      <w:r>
        <w:t xml:space="preserve">(a) Hyperkalemia and fluid overload</w:t>
      </w:r>
    </w:p>
    <w:p>
      <w:r>
        <w:t xml:space="preserve">(b) Hypoglycemia</w:t>
      </w:r>
    </w:p>
    <w:p>
      <w:r>
        <w:t xml:space="preserve">(c) Hypothermia</w:t>
      </w:r>
    </w:p>
    <w:p>
      <w:r>
        <w:t xml:space="preserve">(d) Constipation</w:t>
      </w:r>
    </w:p>
    <w:p>
      <w:r>
        <w:t xml:space="preserve">Answer: a</w:t>
      </w:r>
    </w:p>
    <w:p>
      <w:r>
        <w:t xml:space="preserve">Solution: ✅ Correct Answer: (a) Hyperkalemia and fluid overload</w:t>
      </w:r>
    </w:p>
    <w:p>
      <w:r>
        <w:t xml:space="preserve">🧠 Clinical Rationale: Between dialysis sessions, the failing kidneys accumulate POTASSIUM and FLUID. HYPERKALEMIA → life-threatening arrhythmias; FLUID OVERLOAD → pulmonary edema and hypertension. The nurse teaches potassium/sodium/fluid restrictions and a weight-gain limit between sessions (usually &lt;1–1.5 kg/day).</w:t>
      </w:r>
    </w:p>
    <w:p>
      <w:r>
        <w:t xml:space="preserve">🔍 Key Clues: "Between dialysis sessions" → the two accumulators: potassium + fluid.</w:t>
      </w:r>
    </w:p>
    <w:p>
      <w:r>
        <w:t xml:space="preserve">❌ Why Not Other Options?</w:t>
      </w:r>
    </w:p>
    <w:p>
      <w:r>
        <w:t xml:space="preserve">(b) — Hypoglycemia is not the inter-dialysis risk.</w:t>
      </w:r>
    </w:p>
    <w:p>
      <w:r>
        <w:t xml:space="preserve">(c) — Hypothermia is unrelated.</w:t>
      </w:r>
    </w:p>
    <w:p>
      <w:r>
        <w:t xml:space="preserve">(d) — Constipation is not the life-threatening inter-dialysis issue.</w:t>
      </w:r>
    </w:p>
    <w:p>
      <w:r>
        <w:t xml:space="preserve">⚠️ Exam Trap: "Inter-dialytic weight gain &lt;1–1.5 kg/day" and "hyperkalemia = the dangerous interval risk" are the tested points.</w:t>
      </w:r>
    </w:p>
    <w:p>
      <w:r>
        <w:t xml:space="preserve">💎 PNC Pearl: Between dialyses: restrict K (bananas, oranges, potatoes), fluids, sodium — daily weight is the gauge.</w:t>
      </w:r>
    </w:p>
    <w:p>
      <w:r>
        <w:t xml:space="preserve">📌 Concept Extension: Dialysis removes ~2–3 kg of fluid per session — exceeding that stresses the heart and drops BP during dialysis.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primigravida at 38 weeks is in early labor. The nurse should teach the patient that:</w:t>
      </w:r>
    </w:p>
    <w:p>
      <w:r>
        <w:t xml:space="preserve">(a) She should come to the hospital when contractions are regular, strong, and about 5 minutes apart</w:t>
      </w:r>
    </w:p>
    <w:p>
      <w:r>
        <w:t xml:space="preserve">(b) She should wait until delivery is imminent</w:t>
      </w:r>
    </w:p>
    <w:p>
      <w:r>
        <w:t xml:space="preserve">(c) Contractions are irrelevant</w:t>
      </w:r>
    </w:p>
    <w:p>
      <w:r>
        <w:t xml:space="preserve">(d) She should eat a heavy meal</w:t>
      </w:r>
    </w:p>
    <w:p>
      <w:r>
        <w:t xml:space="preserve">Answer: a</w:t>
      </w:r>
    </w:p>
    <w:p>
      <w:r>
        <w:t xml:space="preserve">Solution: ✅ Correct Answer: (a) She should come to the hospital when contractions are regular, strong, and about 5 minutes apart</w:t>
      </w:r>
    </w:p>
    <w:p>
      <w:r>
        <w:t xml:space="preserve">🧠 Clinical Rationale: Early-labor teaching: come to the hospital when contractions are REGULAR, STRONG, about 5 MINUTES APART lasting 60 seconds, OR when membranes rupture, OR with bleeding. The nurse also teaches comfort measures at home and what to expect.</w:t>
      </w:r>
    </w:p>
    <w:p>
      <w:r>
        <w:t xml:space="preserve">🔍 Key Clues: "Early labor" + "should teach" → the 5-1-1 rule (5 min apart, 1 minute long, for 1 hour) or ruptured membranes/bleeding.</w:t>
      </w:r>
    </w:p>
    <w:p>
      <w:r>
        <w:t xml:space="preserve">❌ Why Not Other Options?</w:t>
      </w:r>
    </w:p>
    <w:p>
      <w:r>
        <w:t xml:space="preserve">(b) — Waiting until delivery is imminent risks delivering at home.</w:t>
      </w:r>
    </w:p>
    <w:p>
      <w:r>
        <w:t xml:space="preserve">(c) — Contractions are the central labor signal — not irrelevant.</w:t>
      </w:r>
    </w:p>
    <w:p>
      <w:r>
        <w:t xml:space="preserve">(d) — Heavy meals are avoided in labor (aspiration risk with anesthesia).</w:t>
      </w:r>
    </w:p>
    <w:p>
      <w:r>
        <w:t xml:space="preserve">⚠️ Exam Trap: The "5-1-1 rule" and "ruptured membranes = come in now" are the two admission-teaching facts.</w:t>
      </w:r>
    </w:p>
    <w:p>
      <w:r>
        <w:t xml:space="preserve">💎 PNC Pearl: Call/come in: contractions 5 min apart × 60 sec × 1 hr, ruptured membranes (gush/trickle), or any vaginal bleeding.</w:t>
      </w:r>
    </w:p>
    <w:p>
      <w:r>
        <w:t xml:space="preserve">📌 Concept Extension: Preterm labor (&lt;37 weeks) — go to hospital immediately with ANY regular contractions.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asthma is prescribed a metered-dose inhaler with a spacer. The nurse should teach the child/parents to:</w:t>
      </w:r>
    </w:p>
    <w:p>
      <w:r>
        <w:t xml:space="preserve">(a) Shake the inhaler, use the spacer, and rinse the mouth after steroid use</w:t>
      </w:r>
    </w:p>
    <w:p>
      <w:r>
        <w:t xml:space="preserve">(b) Use the inhaler without shaking</w:t>
      </w:r>
    </w:p>
    <w:p>
      <w:r>
        <w:t xml:space="preserve">(c) Skip the spacer</w:t>
      </w:r>
    </w:p>
    <w:p>
      <w:r>
        <w:t xml:space="preserve">(d) Not rinse the mouth</w:t>
      </w:r>
    </w:p>
    <w:p>
      <w:r>
        <w:t xml:space="preserve">Answer: a</w:t>
      </w:r>
    </w:p>
    <w:p>
      <w:r>
        <w:t xml:space="preserve">Solution: ✅ Correct Answer: (a) Shake the inhaler, use the spacer, and rinse the mouth after steroid use</w:t>
      </w:r>
    </w:p>
    <w:p>
      <w:r>
        <w:t xml:space="preserve">🧠 Clinical Rationale: Correct MDI technique: SHAKE the inhaler, attach and use the SPACER (delivers more drug to the lungs and less to the mouth — vital in children), inhale slowly, hold the breath, and RINSE THE MOUTH after CORTICOSTEROID use (prevents oral thrush and hoarseness).</w:t>
      </w:r>
    </w:p>
    <w:p>
      <w:r>
        <w:t xml:space="preserve">🔍 Key Clues: "MDI with spacer" in a child → shake + spacer + rinse after steroids.</w:t>
      </w:r>
    </w:p>
    <w:p>
      <w:r>
        <w:t xml:space="preserve">❌ Why Not Other Options?</w:t>
      </w:r>
    </w:p>
    <w:p>
      <w:r>
        <w:t xml:space="preserve">(b) — Shaking mixes the medication — skipping it delivers variable doses.</w:t>
      </w:r>
    </w:p>
    <w:p>
      <w:r>
        <w:t xml:space="preserve">(c) — The spacer is essential in children — it improves drug delivery and reduces oropharyngeal deposition.</w:t>
      </w:r>
    </w:p>
    <w:p>
      <w:r>
        <w:t xml:space="preserve">(d) — Not rinsing after inhaled steroids promotes oral candidiasis.</w:t>
      </w:r>
    </w:p>
    <w:p>
      <w:r>
        <w:t xml:space="preserve">⚠️ Exam Trap: "Rinse after steroids, not after bronchodilators" — and "spacer = better delivery in kids" are the two tested points.</w:t>
      </w:r>
    </w:p>
    <w:p>
      <w:r>
        <w:t xml:space="preserve">💎 PNC Pearl: MDI: shake → spacer → slow breath in → hold 10 s → rinse (steroid only). Demonstrations + return demonstrations.</w:t>
      </w:r>
    </w:p>
    <w:p>
      <w:r>
        <w:t xml:space="preserve">📌 Concept Extension: Use bronchodilator FIRST, then steroid — opening the airways lets the steroid reach the lower lungs.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bipolar disorder in the manic phase is being started on lithium. The nurse should monitor:</w:t>
      </w:r>
    </w:p>
    <w:p>
      <w:r>
        <w:t xml:space="preserve">(a) Serum lithium levels, renal function, and thyroid function</w:t>
      </w:r>
    </w:p>
    <w:p>
      <w:r>
        <w:t xml:space="preserve">(b) Only weight</w:t>
      </w:r>
    </w:p>
    <w:p>
      <w:r>
        <w:t xml:space="preserve">(c) Only glucose</w:t>
      </w:r>
    </w:p>
    <w:p>
      <w:r>
        <w:t xml:space="preserve">(d) Only temperature</w:t>
      </w:r>
    </w:p>
    <w:p>
      <w:r>
        <w:t xml:space="preserve">Answer: a</w:t>
      </w:r>
    </w:p>
    <w:p>
      <w:r>
        <w:t xml:space="preserve">Solution: ✅ Correct Answer: (a) Serum lithium levels, renal function, and thyroid function</w:t>
      </w:r>
    </w:p>
    <w:p>
      <w:r>
        <w:t xml:space="preserve">🧠 Clinical Rationale: Lithium monitoring: SERUM LEVELS (therapeutic 0.6–1.2 mEq/L; &gt;1.5 = toxicity), RENAL function (lithium is excreted by the kidney; nephrogenic diabetes insipidus is a long-term effect), and THYROID function (hypothyroidism is common). Signs of toxicity: tremor, vomiting, ataxia, confusion.</w:t>
      </w:r>
    </w:p>
    <w:p>
      <w:r>
        <w:t xml:space="preserve">🔍 Key Clues: "Lithium" → the three monitors: level + renal + thyroid.</w:t>
      </w:r>
    </w:p>
    <w:p>
      <w:r>
        <w:t xml:space="preserve">❌ Why Not Other Options?</w:t>
      </w:r>
    </w:p>
    <w:p>
      <w:r>
        <w:t xml:space="preserve">(b) — Weight alone is not the lithium monitoring parameter.</w:t>
      </w:r>
    </w:p>
    <w:p>
      <w:r>
        <w:t xml:space="preserve">(c) — Glucose is not lithium's target organ.</w:t>
      </w:r>
    </w:p>
    <w:p>
      <w:r>
        <w:t xml:space="preserve">(d) — Temperature is not the lithium monitor.</w:t>
      </w:r>
    </w:p>
    <w:p>
      <w:r>
        <w:t xml:space="preserve">⚠️ Exam Trap: Lithium toxicity: coarse tremor, vomiting, diarrhea, ataxia, confusion, seizures — maintain consistent salt/fluid intake and check levels regularly.</w:t>
      </w:r>
    </w:p>
    <w:p>
      <w:r>
        <w:t xml:space="preserve">💎 PNC Pearl: "Lithium: 0.6–1.2 level, kidney + thyroid checks, steady salt/water, report vomiting/tremors."</w:t>
      </w:r>
    </w:p>
    <w:p>
      <w:r>
        <w:t xml:space="preserve">📌 Concept Extension: NSAIDs, ACE inhibitors, and thiazides RAISE lithium levels — dangerous interactions to teach.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"National Education Policy" (NEP) 2020 was launched to:</w:t>
      </w:r>
    </w:p>
    <w:p>
      <w:r>
        <w:t xml:space="preserve">(a) Transform the education system with a new curriculum framework</w:t>
      </w:r>
    </w:p>
    <w:p>
      <w:r>
        <w:t xml:space="preserve">(b) Build only schools</w:t>
      </w:r>
    </w:p>
    <w:p>
      <w:r>
        <w:t xml:space="preserve">(c) Provide health insurance</w:t>
      </w:r>
    </w:p>
    <w:p>
      <w:r>
        <w:t xml:space="preserve">(d) Train teachers only</w:t>
      </w:r>
    </w:p>
    <w:p>
      <w:r>
        <w:t xml:space="preserve">Answer: a</w:t>
      </w:r>
    </w:p>
    <w:p>
      <w:r>
        <w:t xml:space="preserve">Solution: ✅ Correct Answer: (a) Transform the education system with a new curriculum framework</w:t>
      </w:r>
    </w:p>
    <w:p>
      <w:r>
        <w:t xml:space="preserve">🧠 Clinical Rationale: NEP 2020 reforms both school and higher education — a new curriculum framework (5+3+3+4), skill and vocational education, multilingual learning, and expanded access — aiming for holistic, flexible, and equitable education.</w:t>
      </w:r>
    </w:p>
    <w:p>
      <w:r>
        <w:t xml:space="preserve">🔍 Key Clues: "NEP 2020" → education-system transformation — the policy's purpose.</w:t>
      </w:r>
    </w:p>
    <w:p>
      <w:r>
        <w:t xml:space="preserve">❌ Why Not Other Options?</w:t>
      </w:r>
    </w:p>
    <w:p>
      <w:r>
        <w:t xml:space="preserve">(b) — Building schools is infrastructure, not the policy's aim.</w:t>
      </w:r>
    </w:p>
    <w:p>
      <w:r>
        <w:t xml:space="preserve">(c) — Health insurance is unrelated to NEP.</w:t>
      </w:r>
    </w:p>
    <w:p>
      <w:r>
        <w:t xml:space="preserve">(d) — Teacher training is one component, not the whole policy.</w:t>
      </w:r>
    </w:p>
    <w:p>
      <w:r>
        <w:t xml:space="preserve">⚠️ Exam Trap: NEP 2020 basics: 5+3+3+4 structure, mother-tongue instruction, NIPUN Bharat, and the 2035 higher-education enrollment target.</w:t>
      </w:r>
    </w:p>
    <w:p>
      <w:r>
        <w:t xml:space="preserve">💎 PNC Pearl: NEP 2020: 5+3+3+4 school structure, vocational integration, mother tongue as medium where possible.</w:t>
      </w:r>
    </w:p>
    <w:p>
      <w:r>
        <w:t xml:space="preserve">📌 Concept Extension: The National Curriculum Framework (NCF) 2023 operationalizes NEP 2020 in schools.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0.5 mg of a medication. The vial contains 0.25 mg/mL. The volume to give is:</w:t>
      </w:r>
    </w:p>
    <w:p>
      <w:r>
        <w:t xml:space="preserve">(a) 1 mL</w:t>
      </w:r>
    </w:p>
    <w:p>
      <w:r>
        <w:t xml:space="preserve">(b) 2 mL</w:t>
      </w:r>
    </w:p>
    <w:p>
      <w:r>
        <w:t xml:space="preserve">(c) 3 mL</w:t>
      </w:r>
    </w:p>
    <w:p>
      <w:r>
        <w:t xml:space="preserve">(d) 4 mL</w:t>
      </w:r>
    </w:p>
    <w:p>
      <w:r>
        <w:t xml:space="preserve">Answer: b</w:t>
      </w:r>
    </w:p>
    <w:p>
      <w:r>
        <w:t xml:space="preserve">Solution: ✅ Correct Answer: (b) 2 mL</w:t>
      </w:r>
    </w:p>
    <w:p>
      <w:r>
        <w:t xml:space="preserve">🧠 Clinical Rationale: Volume = Desired ÷ Concentration = 0.5 mg ÷ 0.25 mg/mL = 2 mL. Check: 2 × 0.25 = 0.5 mg ✓.</w:t>
      </w:r>
    </w:p>
    <w:p>
      <w:r>
        <w:t xml:space="preserve">🔍 Key Clues: "0.5 mg" + "0.25 mg/mL" → divide dose by concentration.</w:t>
      </w:r>
    </w:p>
    <w:p>
      <w:r>
        <w:t xml:space="preserve">❌ Why Not Other Options?</w:t>
      </w:r>
    </w:p>
    <w:p>
      <w:r>
        <w:t xml:space="preserve">(a) — 1 mL delivers 0.25 mg — half the dose.</w:t>
      </w:r>
    </w:p>
    <w:p>
      <w:r>
        <w:t xml:space="preserve">(c) — 3 mL delivers 0.75 mg — an overdose.</w:t>
      </w:r>
    </w:p>
    <w:p>
      <w:r>
        <w:t xml:space="preserve">(d) — 4 mL delivers 1.0 mg — double the dose.</w:t>
      </w:r>
    </w:p>
    <w:p>
      <w:r>
        <w:t xml:space="preserve">⚠️ Exam Trap: 0.5 ÷ 0.25 = 2 — recognize the double relationship.</w:t>
      </w:r>
    </w:p>
    <w:p>
      <w:r>
        <w:t xml:space="preserve">💎 PNC Pearl: D ÷ H = volume; if the dose is twice the concentration, the volume is 2 mL.</w:t>
      </w:r>
    </w:p>
    <w:p>
      <w:r>
        <w:t xml:space="preserve">📌 Concept Extension: Always read the concentration on the label — same drug can come in multiple concentrations.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pulse rate at rest is:</w:t>
      </w:r>
    </w:p>
    <w:p>
      <w:r>
        <w:t xml:space="preserve">(a) 60–100 beats per minute</w:t>
      </w:r>
    </w:p>
    <w:p>
      <w:r>
        <w:t xml:space="preserve">(b) 20–40 beats per minute</w:t>
      </w:r>
    </w:p>
    <w:p>
      <w:r>
        <w:t xml:space="preserve">(c) 120–160 beats per minute</w:t>
      </w:r>
    </w:p>
    <w:p>
      <w:r>
        <w:t xml:space="preserve">(d) 160–200 beats per minute</w:t>
      </w:r>
    </w:p>
    <w:p>
      <w:r>
        <w:t xml:space="preserve">Answer: a</w:t>
      </w:r>
    </w:p>
    <w:p>
      <w:r>
        <w:t xml:space="preserve">Solution: ✅ Correct Answer: (a) 60–100 beats per minute</w:t>
      </w:r>
    </w:p>
    <w:p>
      <w:r>
        <w:t xml:space="preserve">🧠 Clinical Rationale: Normal adult resting pulse is 60–100 bpm. The nurse assesses rate, rhythm, and strength, and compares APICAL-RADIAL pulses when an irregular rhythm or deficit is suspected (e.g., atrial fibrillation).</w:t>
      </w:r>
    </w:p>
    <w:p>
      <w:r>
        <w:t xml:space="preserve">🔍 Key Clues: "Normal adult pulse at rest" → the 60–100 bpm anchor.</w:t>
      </w:r>
    </w:p>
    <w:p>
      <w:r>
        <w:t xml:space="preserve">❌ Why Not Other Options?</w:t>
      </w:r>
    </w:p>
    <w:p>
      <w:r>
        <w:t xml:space="preserve">(b) — 20–40 bpm is severe bradycardia.</w:t>
      </w:r>
    </w:p>
    <w:p>
      <w:r>
        <w:t xml:space="preserve">(c) — 120–160 bpm is the INFANT range.</w:t>
      </w:r>
    </w:p>
    <w:p>
      <w:r>
        <w:t xml:space="preserve">(d) — 160–200 bpm is tachyarrhythmia.</w:t>
      </w:r>
    </w:p>
    <w:p>
      <w:r>
        <w:t xml:space="preserve">⚠️ Exam Trap: Age-based pulse: infant 100–160, toddler 80–130, preschooler 80–120, school-age 70–110, adult 60–100 — the age matching is the trap.</w:t>
      </w:r>
    </w:p>
    <w:p>
      <w:r>
        <w:t xml:space="preserve">💎 PNC Pearl: Adult 60–100; &lt;60 = bradycardia, &gt;100 = tachycardia (resting); athletes may run lower normally.</w:t>
      </w:r>
    </w:p>
    <w:p>
      <w:r>
        <w:t xml:space="preserve">📌 Concept Extension: Apical pulse is counted for a full minute before digoxin — withhold if &lt;60 bpm (adult).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pelvis is at risk for which complication?</w:t>
      </w:r>
    </w:p>
    <w:p>
      <w:r>
        <w:t xml:space="preserve">(a) Internal hemorrhage and hypovolemic shock</w:t>
      </w:r>
    </w:p>
    <w:p>
      <w:r>
        <w:t xml:space="preserve">(b) Hypoglycemia</w:t>
      </w:r>
    </w:p>
    <w:p>
      <w:r>
        <w:t xml:space="preserve">(c) Hyperthyroidism</w:t>
      </w:r>
    </w:p>
    <w:p>
      <w:r>
        <w:t xml:space="preserve">(d) Skin rash</w:t>
      </w:r>
    </w:p>
    <w:p>
      <w:r>
        <w:t xml:space="preserve">Answer: a</w:t>
      </w:r>
    </w:p>
    <w:p>
      <w:r>
        <w:t xml:space="preserve">Solution: ✅ Correct Answer: (a) Internal hemorrhage and hypovolemic shock</w:t>
      </w:r>
    </w:p>
    <w:p>
      <w:r>
        <w:t xml:space="preserve">🧠 Clinical Rationale: The pelvis encloses large vessels (iliac arteries/veins, presacral plexus) — a pelvic fracture can lacerate them, causing MAJOR INTERNAL HEMORRHAGE and HYPOVOLEMIC SHOCK even without visible external bleeding. The nurse monitors vitals, hemoglobin, and urine, and prepares for fluid/blood resuscitation.</w:t>
      </w:r>
    </w:p>
    <w:p>
      <w:r>
        <w:t xml:space="preserve">🔍 Key Clues: "Fractured pelvis" → the hidden-bleeding complication: internal hemorrhage + shock.</w:t>
      </w:r>
    </w:p>
    <w:p>
      <w:r>
        <w:t xml:space="preserve">❌ Why Not Other Options?</w:t>
      </w:r>
    </w:p>
    <w:p>
      <w:r>
        <w:t xml:space="preserve">(b) — Hypoglycemia is unrelated to pelvic fractures.</w:t>
      </w:r>
    </w:p>
    <w:p>
      <w:r>
        <w:t xml:space="preserve">(c) — Hyperthyroidism is not a fracture complication.</w:t>
      </w:r>
    </w:p>
    <w:p>
      <w:r>
        <w:t xml:space="preserve">(d) — Skin rash is not the risk.</w:t>
      </w:r>
    </w:p>
    <w:p>
      <w:r>
        <w:t xml:space="preserve">⚠️ Exam Trap: Pelvic fractures can bleed up to several liters internally — "monitor for shock" is the answer even when external bleeding is absent.</w:t>
      </w:r>
    </w:p>
    <w:p>
      <w:r>
        <w:t xml:space="preserve">💎 PNC Pearl: Pelvic fracture: log-roll, monitor vitals/Hb/urine, prepare blood products, pelvic binder — treat as shock until proven otherwise.</w:t>
      </w:r>
    </w:p>
    <w:p>
      <w:r>
        <w:t xml:space="preserve">📌 Concept Extension: Other pelvic fracture risks: urethral injury (blood at the meatus) and bladder injury.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