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phosphorus level is:</w:t>
      </w:r>
    </w:p>
    <w:p>
      <w:r>
        <w:t>(a) 6–8 mg/dL</w:t>
      </w:r>
    </w:p>
    <w:p>
      <w:r>
        <w:t>(b) 0.5–1.5 mg/dL</w:t>
      </w:r>
    </w:p>
    <w:p>
      <w:r>
        <w:t>(c) 2.5–4.5 mg/dL</w:t>
      </w:r>
    </w:p>
    <w:p>
      <w:r>
        <w:t>(d) 10–12 mg/dL</w:t>
      </w:r>
    </w:p>
    <w:p>
      <w:r>
        <w:t>Answer: c</w:t>
      </w:r>
    </w:p>
    <w:p>
      <w:r>
        <w:t xml:space="preserve">Solution: Normal phosphorus is 2.5–4.5 mg/dL. Hyperphosphatemia occurs in renal failure; hypophosphatemia in malnutrition and refeeding. Phosphorus is essential for bone, ATP, and cell membranes.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changing a dressing on a surgical wound. Which action maintains asepsis?</w:t>
      </w:r>
    </w:p>
    <w:p>
      <w:r>
        <w:t>(a) Clean the wound from the center outward using a sterile technique</w:t>
      </w:r>
    </w:p>
    <w:p>
      <w:r>
        <w:t>(b) Clean from the outside toward the center</w:t>
      </w:r>
    </w:p>
    <w:p>
      <w:r>
        <w:t>(c) Reuse the same gauze</w:t>
      </w:r>
    </w:p>
    <w:p>
      <w:r>
        <w:t>(d) Touch the wound with bare hands</w:t>
      </w:r>
    </w:p>
    <w:p>
      <w:r>
        <w:t>Answer: a</w:t>
      </w:r>
    </w:p>
    <w:p>
      <w:r>
        <w:t xml:space="preserve">Solution: Wounds are cleaned from the cleanest area (center) outward to the dirtier periphery — preventing contamination. Sterile technique, single-use gauze, and hand hygiene are essential.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phosphorus management. The nurse should instruct the patient to:</w:t>
      </w:r>
    </w:p>
    <w:p>
      <w:r>
        <w:t>(a) Take phosphate binders with meals and limit dairy</w:t>
      </w:r>
    </w:p>
    <w:p>
      <w:r>
        <w:t>(b) Increase dairy intake</w:t>
      </w:r>
    </w:p>
    <w:p>
      <w:r>
        <w:t>(c) Skip phosphate binders</w:t>
      </w:r>
    </w:p>
    <w:p>
      <w:r>
        <w:t>(d) Take phosphate binders on an empty stomach</w:t>
      </w:r>
    </w:p>
    <w:p>
      <w:r>
        <w:t>Answer: a</w:t>
      </w:r>
    </w:p>
    <w:p>
      <w:r>
        <w:t xml:space="preserve">Solution: Phosphate binders are taken with meals to bind dietary phosphorus; dairy and nuts (high phosphorus) are limited in renal failure. The nurse monitors phosphorus and teaches about bone disease prevention.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32 weeks of gestation is being assessed. The nurse notes the fetal heart rate is 170 bpm. The nurse should:</w:t>
      </w:r>
    </w:p>
    <w:p>
      <w:r>
        <w:t>(a) Reassure the patient</w:t>
      </w:r>
    </w:p>
    <w:p>
      <w:r>
        <w:t>(b) Report fetal tachycardia and reassess</w:t>
      </w:r>
    </w:p>
    <w:p>
      <w:r>
        <w:t>(c) Discharge the patient</w:t>
      </w:r>
    </w:p>
    <w:p>
      <w:r>
        <w:t>(d) Ignore the finding</w:t>
      </w:r>
    </w:p>
    <w:p>
      <w:r>
        <w:t>Answer: b</w:t>
      </w:r>
    </w:p>
    <w:p>
      <w:r>
        <w:t xml:space="preserve">Solution: Fetal tachycardia (&gt;160 bpm) may indicate fetal distress, maternal fever, or medication effects — the nurse reassesses the FHR, checks maternal temperature, and reports persistent tachycardia.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3-month-old infant with pneumonia has a respiratory rate of 65 per minute. The nurse should classify this as:</w:t>
      </w:r>
    </w:p>
    <w:p>
      <w:r>
        <w:t>(a) Bradypnea</w:t>
      </w:r>
    </w:p>
    <w:p>
      <w:r>
        <w:t>(b) Fast breathing for age (pneumonia per IMNCI)</w:t>
      </w:r>
    </w:p>
    <w:p>
      <w:r>
        <w:t>(c) Normal</w:t>
      </w:r>
    </w:p>
    <w:p>
      <w:r>
        <w:t>(d) Irrelevant</w:t>
      </w:r>
    </w:p>
    <w:p>
      <w:r>
        <w:t>Answer: b</w:t>
      </w:r>
    </w:p>
    <w:p>
      <w:r>
        <w:t xml:space="preserve">Solution: Fast breathing for an infant under 2 months is ≥60/min; for 2–12 months ≥50/min. A rate of 65 in a 3-month-old indicates fast breathing — the nurse assesses for chest indrawing and danger signs to classify and treat.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having difficulty with self-care. The nurse should:</w:t>
      </w:r>
    </w:p>
    <w:p>
      <w:r>
        <w:t>(a) Criticize the lack of self-care</w:t>
      </w:r>
    </w:p>
    <w:p>
      <w:r>
        <w:t>(b) Ignore the patient</w:t>
      </w:r>
    </w:p>
    <w:p>
      <w:r>
        <w:t>(c) Provide step-by-step guidance and positive reinforcement</w:t>
      </w:r>
    </w:p>
    <w:p>
      <w:r>
        <w:t>(d) Do everything for the patient</w:t>
      </w:r>
    </w:p>
    <w:p>
      <w:r>
        <w:t>Answer: c</w:t>
      </w:r>
    </w:p>
    <w:p>
      <w:r>
        <w:t xml:space="preserve">Solution: Negative symptoms impair self-care — the nurse breaks tasks into small steps, provides cues and positive reinforcement, and gradually increases the patient's independence.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sells medicines at prices that are:</w:t>
      </w:r>
    </w:p>
    <w:p>
      <w:r>
        <w:t>(a) Equal to branded medicines</w:t>
      </w:r>
    </w:p>
    <w:p>
      <w:r>
        <w:t>(b) Higher than branded medicines</w:t>
      </w:r>
    </w:p>
    <w:p>
      <w:r>
        <w:t>(c) 50–90% lower than branded medicines</w:t>
      </w:r>
    </w:p>
    <w:p>
      <w:r>
        <w:t>(d) Only for export</w:t>
      </w:r>
    </w:p>
    <w:p>
      <w:r>
        <w:t>Answer: c</w:t>
      </w:r>
    </w:p>
    <w:p>
      <w:r>
        <w:t xml:space="preserve">Solution: Jan Aushadhi generic medicines are 50–90% cheaper than branded equivalents — making essential medicines affordable to all.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32 mg of a medication. The vial contains 8 mg/mL. The volume to give is:</w:t>
      </w:r>
    </w:p>
    <w:p>
      <w:r>
        <w:t>(a) 3 mL</w:t>
      </w:r>
    </w:p>
    <w:p>
      <w:r>
        <w:t>(b) 4 mL</w:t>
      </w:r>
    </w:p>
    <w:p>
      <w:r>
        <w:t>(c) 2 mL</w:t>
      </w:r>
    </w:p>
    <w:p>
      <w:r>
        <w:t>(d) 5 mL</w:t>
      </w:r>
    </w:p>
    <w:p>
      <w:r>
        <w:t>Answer: b</w:t>
      </w:r>
    </w:p>
    <w:p>
      <w:r>
        <w:t xml:space="preserve">Solution: Volume = 32 ÷ 8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stomach is:</w:t>
      </w:r>
    </w:p>
    <w:p>
      <w:r>
        <w:t>(a) Filtering blood</w:t>
      </w:r>
    </w:p>
    <w:p>
      <w:r>
        <w:t>(b) Absorbing water only</w:t>
      </w:r>
    </w:p>
    <w:p>
      <w:r>
        <w:t>(c) Producing insulin</w:t>
      </w:r>
    </w:p>
    <w:p>
      <w:r>
        <w:t>(d) Digesting food with acid and enzymes (pepsin)</w:t>
      </w:r>
    </w:p>
    <w:p>
      <w:r>
        <w:t>Answer: d</w:t>
      </w:r>
    </w:p>
    <w:p>
      <w:r>
        <w:t xml:space="preserve">Solution: The stomach mixes food with gastric acid and pepsin, beginning protein digestion, and slowly empties into the small intestine. The large intestine absorbs water; the pancreas produces insulin; the kidneys filter blood.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radius in a plaster cast complains of severe pain that is not relieved by the prescribed analgesia. The nurse should:</w:t>
      </w:r>
    </w:p>
    <w:p>
      <w:r>
        <w:t>(a) Reassure the patient</w:t>
      </w:r>
    </w:p>
    <w:p>
      <w:r>
        <w:t>(b) Report possible compartment syndrome and check the neurovascular status</w:t>
      </w:r>
    </w:p>
    <w:p>
      <w:r>
        <w:t>(c) Give more painkillers without assessment</w:t>
      </w:r>
    </w:p>
    <w:p>
      <w:r>
        <w:t>(d) Ignore the complaint</w:t>
      </w:r>
    </w:p>
    <w:p>
      <w:r>
        <w:t>Answer: b</w:t>
      </w:r>
    </w:p>
    <w:p>
      <w:r>
        <w:t xml:space="preserve">Solution: Unrelieved severe pain in a cast suggests compartment syndrome — the nurse checks color, warmth, movement, sensation, and pulses, and notifies the physician immediately for cast splitting.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bicarbonate level is:</w:t>
      </w:r>
    </w:p>
    <w:p>
      <w:r>
        <w:t>(a) 35–45 mEq/L</w:t>
      </w:r>
    </w:p>
    <w:p>
      <w:r>
        <w:t>(b) 22–26 mEq/L</w:t>
      </w:r>
    </w:p>
    <w:p>
      <w:r>
        <w:t>(c) 10–15 mEq/L</w:t>
      </w:r>
    </w:p>
    <w:p>
      <w:r>
        <w:t>(d) 50–60 mEq/L</w:t>
      </w:r>
    </w:p>
    <w:p>
      <w:r>
        <w:t>Answer: b</w:t>
      </w:r>
    </w:p>
    <w:p>
      <w:r>
        <w:t xml:space="preserve">Solution: Normal HCO3 is 22–26 mEq/L — the metabolic component of acid-base balance. Low HCO3 indicates metabolic acidosis; high indicates metabolic alkalosis.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on bed rest. Which intervention prevents muscle atrophy?</w:t>
      </w:r>
    </w:p>
    <w:p>
      <w:r>
        <w:t>(a) Bed rest without movement</w:t>
      </w:r>
    </w:p>
    <w:p>
      <w:r>
        <w:t>(b) Restricted fluids</w:t>
      </w:r>
    </w:p>
    <w:p>
      <w:r>
        <w:t>(c) Range-of-motion exercises and progressive activity</w:t>
      </w:r>
    </w:p>
    <w:p>
      <w:r>
        <w:t>(d) Complete immobility</w:t>
      </w:r>
    </w:p>
    <w:p>
      <w:r>
        <w:t>Answer: c</w:t>
      </w:r>
    </w:p>
    <w:p>
      <w:r>
        <w:t xml:space="preserve">Solution: Range-of-motion exercises, repositioning, and progressive ambulation prevent muscle atrophy, contractures, and DVT during bed rest. The nurse performs passive/active ROM as appropriate.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has been NPO for 3 days. The nurse should monitor for:</w:t>
      </w:r>
    </w:p>
    <w:p>
      <w:r>
        <w:t>(a) Nutritional deficits and consider nutritional support (TPN/enteral) as ordered</w:t>
      </w:r>
    </w:p>
    <w:p>
      <w:r>
        <w:t>(b) Constipation only</w:t>
      </w:r>
    </w:p>
    <w:p>
      <w:r>
        <w:t>(c) Fluid overload</w:t>
      </w:r>
    </w:p>
    <w:p>
      <w:r>
        <w:t>(d) Hyperkalemia</w:t>
      </w:r>
    </w:p>
    <w:p>
      <w:r>
        <w:t>Answer: a</w:t>
      </w:r>
    </w:p>
    <w:p>
      <w:r>
        <w:t xml:space="preserve">Solution: Prolonged NPO in pancreatitis risks malnutrition — the nurse monitors nutritional status and supports enteral feeding or TPN as ordered. Pain, amylase/lipase, and complications are also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28 weeks of gestation reports uterine contractions every 15 minutes without cervical change. The nurse should:</w:t>
      </w:r>
    </w:p>
    <w:p>
      <w:r>
        <w:t>(a) Teach the patient to monitor contractions and report if they become regular and painful</w:t>
      </w:r>
    </w:p>
    <w:p>
      <w:r>
        <w:t>(b) Ignore the contractions</w:t>
      </w:r>
    </w:p>
    <w:p>
      <w:r>
        <w:t>(c) Admit for immediate delivery</w:t>
      </w:r>
    </w:p>
    <w:p>
      <w:r>
        <w:t>(d) Give oxytocin</w:t>
      </w:r>
    </w:p>
    <w:p>
      <w:r>
        <w:t>Answer: a</w:t>
      </w:r>
    </w:p>
    <w:p>
      <w:r>
        <w:t xml:space="preserve">Solution: Irregular contractions without cervical change are likely Braxton Hicks — the patient monitors for regular, painful contractions with cervical change (preterm labor) and reports. Hydration and rest may reduce them.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measles has developed a cough and fast breathing. The nurse should assess for:</w:t>
      </w:r>
    </w:p>
    <w:p>
      <w:r>
        <w:t>(a) Teething</w:t>
      </w:r>
    </w:p>
    <w:p>
      <w:r>
        <w:t>(b) Normal recovery</w:t>
      </w:r>
    </w:p>
    <w:p>
      <w:r>
        <w:t>(c) Allergy</w:t>
      </w:r>
    </w:p>
    <w:p>
      <w:r>
        <w:t>(d) Pneumonia, a common complication of measles</w:t>
      </w:r>
    </w:p>
    <w:p>
      <w:r>
        <w:t>Answer: d</w:t>
      </w:r>
    </w:p>
    <w:p>
      <w:r>
        <w:t xml:space="preserve">Solution: Measles commonly causes pneumonia — the nurse assesses respiratory rate, chest indrawing, and danger signs, and refers for treatment. Vitamin A supplementation and immunization prevent complications.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major depressive disorder expresses feelings of worthlessness. The nurse should:</w:t>
      </w:r>
    </w:p>
    <w:p>
      <w:r>
        <w:t>(a) Dismiss the feelings</w:t>
      </w:r>
    </w:p>
    <w:p>
      <w:r>
        <w:t>(b) Agree with the patient</w:t>
      </w:r>
    </w:p>
    <w:p>
      <w:r>
        <w:t>(c) Avoid the patient</w:t>
      </w:r>
    </w:p>
    <w:p>
      <w:r>
        <w:t>(d) Acknowledge the feelings and gently challenge negative thoughts with evidence</w:t>
      </w:r>
    </w:p>
    <w:p>
      <w:r>
        <w:t>Answer: d</w:t>
      </w:r>
    </w:p>
    <w:p>
      <w:r>
        <w:t xml:space="preserve">Solution: The nurse validates the patient's feelings and uses cognitive techniques — gently examining the evidence for negative beliefs. Hope, structure, and treatment adherence are reinforced.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was launched to provide:</w:t>
      </w:r>
    </w:p>
    <w:p>
      <w:r>
        <w:t>(a) Cosmetic products</w:t>
      </w:r>
    </w:p>
    <w:p>
      <w:r>
        <w:t>(b) Imported medicines only</w:t>
      </w:r>
    </w:p>
    <w:p>
      <w:r>
        <w:t>(c) Affordable generic medicines to all citizens</w:t>
      </w:r>
    </w:p>
    <w:p>
      <w:r>
        <w:t>(d) Free branded medicines</w:t>
      </w:r>
    </w:p>
    <w:p>
      <w:r>
        <w:t>Answer: c</w:t>
      </w:r>
    </w:p>
    <w:p>
      <w:r>
        <w:t xml:space="preserve">Solution: PMBJP provides affordable, quality generic medicines through Jan Aushadhi Kendras — reducing out-of-pocket health expenditure.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0.125 g of a medication. The vial contains 50 mg/mL. The volume to give is:</w:t>
      </w:r>
    </w:p>
    <w:p>
      <w:r>
        <w:t>(a) 1.5 mL</w:t>
      </w:r>
    </w:p>
    <w:p>
      <w:r>
        <w:t>(b) 3 mL</w:t>
      </w:r>
    </w:p>
    <w:p>
      <w:r>
        <w:t>(c) 2 mL</w:t>
      </w:r>
    </w:p>
    <w:p>
      <w:r>
        <w:t>(d) 2.5 mL</w:t>
      </w:r>
    </w:p>
    <w:p>
      <w:r>
        <w:t>Answer: d</w:t>
      </w:r>
    </w:p>
    <w:p>
      <w:r>
        <w:t xml:space="preserve">Solution: 0.125 g = 125 mg. Volume = 125 ÷ 50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blood pressure is defined as:</w:t>
      </w:r>
    </w:p>
    <w:p>
      <w:r>
        <w:t>(a) Less than 120/80 mmHg</w:t>
      </w:r>
    </w:p>
    <w:p>
      <w:r>
        <w:t>(b) 140/90 mmHg</w:t>
      </w:r>
    </w:p>
    <w:p>
      <w:r>
        <w:t>(c) 180/110 mmHg</w:t>
      </w:r>
    </w:p>
    <w:p>
      <w:r>
        <w:t>(d) 160/100 mmHg</w:t>
      </w:r>
    </w:p>
    <w:p>
      <w:r>
        <w:t>Answer: a</w:t>
      </w:r>
    </w:p>
    <w:p>
      <w:r>
        <w:t xml:space="preserve">Solution: Normal BP is &lt;120/80 mmHg. Elevated is 120–129/&lt;80; stage 1 HTN 130–139/80–89; stage 2 ≥140/90. The nurse measures BP correctly for accurate readings.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to the lower limbs is being assessed. Using the rule of nines, both lower limbs together represent:</w:t>
      </w:r>
    </w:p>
    <w:p>
      <w:r>
        <w:t>(a) 45% TBSA</w:t>
      </w:r>
    </w:p>
    <w:p>
      <w:r>
        <w:t>(b) 18% TBSA</w:t>
      </w:r>
    </w:p>
    <w:p>
      <w:r>
        <w:t>(c) 27% TBSA</w:t>
      </w:r>
    </w:p>
    <w:p>
      <w:r>
        <w:t>(d) 36% TBSA</w:t>
      </w:r>
    </w:p>
    <w:p>
      <w:r>
        <w:t>Answer: d</w:t>
      </w:r>
    </w:p>
    <w:p>
      <w:r>
        <w:t xml:space="preserve">Solution: Each lower limb is 18% — both together are 36% TBSA. The rule of nines estimates burn extent to guide fluid resuscitation (Parkland formula).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