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creatinine clearance is:</w:t>
      </w:r>
    </w:p>
    <w:p>
      <w:r>
        <w:t>(a) 20–40 mL/min</w:t>
      </w:r>
    </w:p>
    <w:p>
      <w:r>
        <w:t>(b) 90–120 mL/min</w:t>
      </w:r>
    </w:p>
    <w:p>
      <w:r>
        <w:t>(c) 5–10 mL/min</w:t>
      </w:r>
    </w:p>
    <w:p>
      <w:r>
        <w:t>(d) 200–300 mL/min</w:t>
      </w:r>
    </w:p>
    <w:p>
      <w:r>
        <w:t>Answer: b</w:t>
      </w:r>
    </w:p>
    <w:p>
      <w:r>
        <w:t xml:space="preserve">Solution: Normal creatinine clearance is 90–120 mL/min — estimating GFR. Values &lt;60 indicate chronic kidney disease; &lt;15 is kidney failure. It is calculated from serum creatinine, age, weight, and sex.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permanent pacemaker. Which instruction is correct?</w:t>
      </w:r>
    </w:p>
    <w:p>
      <w:r>
        <w:t>(a) Lift heavy weights immediately</w:t>
      </w:r>
    </w:p>
    <w:p>
      <w:r>
        <w:t>(b) Skip follow-up</w:t>
      </w:r>
    </w:p>
    <w:p>
      <w:r>
        <w:t>(c) Use microwave ovens freely</w:t>
      </w:r>
    </w:p>
    <w:p>
      <w:r>
        <w:t>(d) Avoid strong magnetic fields and report dizziness or palpitations</w:t>
      </w:r>
    </w:p>
    <w:p>
      <w:r>
        <w:t>Answer: d</w:t>
      </w:r>
    </w:p>
    <w:p>
      <w:r>
        <w:t xml:space="preserve">Solution: Pacemaker care — avoid strong electromagnetic fields (MRI, large magnets), monitor for symptoms (dizziness, palpitations, hiccups), carry the device ID, and attend regular checks.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is being treated with methimazole. The nurse should teach the patient to report:</w:t>
      </w:r>
    </w:p>
    <w:p>
      <w:r>
        <w:t>(a) Constipation</w:t>
      </w:r>
    </w:p>
    <w:p>
      <w:r>
        <w:t>(b) Bradycardia</w:t>
      </w:r>
    </w:p>
    <w:p>
      <w:r>
        <w:t>(c) Sore throat, fever, and mouth ulcers (possible agranulocytosis)</w:t>
      </w:r>
    </w:p>
    <w:p>
      <w:r>
        <w:t>(d) Weight gain</w:t>
      </w:r>
    </w:p>
    <w:p>
      <w:r>
        <w:t>Answer: c</w:t>
      </w:r>
    </w:p>
    <w:p>
      <w:r>
        <w:t xml:space="preserve">Solution: Methimazole can cause agranulocytosis — sore throat, fever, and mouth ulcers require an immediate CBC. The nurse also monitors for liver toxicity and rash.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diagnosed with preeclampsia and is being discharged home with monitoring. The nurse should teach the patient to:</w:t>
      </w:r>
    </w:p>
    <w:p>
      <w:r>
        <w:t>(a) Skip BP monitoring</w:t>
      </w:r>
    </w:p>
    <w:p>
      <w:r>
        <w:t>(b) Monitor blood pressure, watch for warning signs, and attend follow-up</w:t>
      </w:r>
    </w:p>
    <w:p>
      <w:r>
        <w:t>(c) Avoid all antenatal visits</w:t>
      </w:r>
    </w:p>
    <w:p>
      <w:r>
        <w:t>(d) Ignore symptoms</w:t>
      </w:r>
    </w:p>
    <w:p>
      <w:r>
        <w:t>Answer: b</w:t>
      </w:r>
    </w:p>
    <w:p>
      <w:r>
        <w:t xml:space="preserve">Solution: Preeclampsia at home — daily BP monitoring, fetal movement counting, and immediate reporting of severe headache, visual changes, epigastric pain, or reduced fetal movements.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urinary tract infection is prescribed antibiotics. The nurse should teach the parents to:</w:t>
      </w:r>
    </w:p>
    <w:p>
      <w:r>
        <w:t>(a) Skip follow-up</w:t>
      </w:r>
    </w:p>
    <w:p>
      <w:r>
        <w:t>(b) Restrict fluids</w:t>
      </w:r>
    </w:p>
    <w:p>
      <w:r>
        <w:t>(c) Stop the antibiotics when symptoms improve</w:t>
      </w:r>
    </w:p>
    <w:p>
      <w:r>
        <w:t>(d) Give the full course and increase the child's fluid intake</w:t>
      </w:r>
    </w:p>
    <w:p>
      <w:r>
        <w:t>Answer: d</w:t>
      </w:r>
    </w:p>
    <w:p>
      <w:r>
        <w:t xml:space="preserve">Solution: Pediatric UTI — complete antibiotics, increased fluids, frequent voiding, and follow-up urine testing if needed. Full courses prevent recurrence and kidney damage.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started on an antipsychotic. Which side effect requires immediate reporting?</w:t>
      </w:r>
    </w:p>
    <w:p>
      <w:r>
        <w:t>(a) Mild drowsiness</w:t>
      </w:r>
    </w:p>
    <w:p>
      <w:r>
        <w:t>(b) Constipation</w:t>
      </w:r>
    </w:p>
    <w:p>
      <w:r>
        <w:t>(c) Weight gain</w:t>
      </w:r>
    </w:p>
    <w:p>
      <w:r>
        <w:t>(d) High fever with muscle rigidity (possible neuroleptic malignant syndrome)</w:t>
      </w:r>
    </w:p>
    <w:p>
      <w:r>
        <w:t>Answer: d</w:t>
      </w:r>
    </w:p>
    <w:p>
      <w:r>
        <w:t xml:space="preserve">Solution: NMS — high fever, rigidity, autonomic instability, and altered consciousness — is an emergency. Mild sedation, weight gain, and constipation are common and managed; NMS requires immediate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also known as:</w:t>
      </w:r>
    </w:p>
    <w:p>
      <w:r>
        <w:t>(a) Imported medicines</w:t>
      </w:r>
    </w:p>
    <w:p>
      <w:r>
        <w:t>(b) Jan Aushadhi medicines (generic)</w:t>
      </w:r>
    </w:p>
    <w:p>
      <w:r>
        <w:t>(c) Branded medicines</w:t>
      </w:r>
    </w:p>
    <w:p>
      <w:r>
        <w:t>(d) Herbal medicines only</w:t>
      </w:r>
    </w:p>
    <w:p>
      <w:r>
        <w:t>Answer: b</w:t>
      </w:r>
    </w:p>
    <w:p>
      <w:r>
        <w:t xml:space="preserve">Solution: Jan Aushadhi medicines are quality generic equivalents — affordable, bioequivalent alternatives to branded drugs.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480 mg of a medication. The tablets are 160 mg each. How many tablets are needed?</w:t>
      </w:r>
    </w:p>
    <w:p>
      <w:r>
        <w:t>(a) 3 tablets</w:t>
      </w:r>
    </w:p>
    <w:p>
      <w:r>
        <w:t>(b) 6 tablets</w:t>
      </w:r>
    </w:p>
    <w:p>
      <w:r>
        <w:t>(c) 4 tablets</w:t>
      </w:r>
    </w:p>
    <w:p>
      <w:r>
        <w:t>(d) 2 tablets</w:t>
      </w:r>
    </w:p>
    <w:p>
      <w:r>
        <w:t>Answer: a</w:t>
      </w:r>
    </w:p>
    <w:p>
      <w:r>
        <w:t xml:space="preserve">Solution: Tablets = 480 ÷ 160 = 3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hematocrit is approximately:</w:t>
      </w:r>
    </w:p>
    <w:p>
      <w:r>
        <w:t>(a) Equal to the hemoglobin value</w:t>
      </w:r>
    </w:p>
    <w:p>
      <w:r>
        <w:t>(b) Half the hemoglobin value</w:t>
      </w:r>
    </w:p>
    <w:p>
      <w:r>
        <w:t>(c) Three times the hemoglobin value</w:t>
      </w:r>
    </w:p>
    <w:p>
      <w:r>
        <w:t>(d) Unrelated to hemoglobin</w:t>
      </w:r>
    </w:p>
    <w:p>
      <w:r>
        <w:t>Answer: c</w:t>
      </w:r>
    </w:p>
    <w:p>
      <w:r>
        <w:t xml:space="preserve">Solution: Hematocrit is approximately 3× the hemoglobin (e.g., Hb 14 g/dL → Hct ~42%). Both assess red cell mass and anemia/polycythemia.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the water seal chamber with no bubbling after a pneumothorax. The nurse should:</w:t>
      </w:r>
    </w:p>
    <w:p>
      <w:r>
        <w:t>(a) Disconnect the suction</w:t>
      </w:r>
    </w:p>
    <w:p>
      <w:r>
        <w:t>(b) Suspect blockage always</w:t>
      </w:r>
    </w:p>
    <w:p>
      <w:r>
        <w:t>(c) Recognize that the air leak has likely resolved</w:t>
      </w:r>
    </w:p>
    <w:p>
      <w:r>
        <w:t>(d) Clamp the tube</w:t>
      </w:r>
    </w:p>
    <w:p>
      <w:r>
        <w:t>Answer: c</w:t>
      </w:r>
    </w:p>
    <w:p>
      <w:r>
        <w:t xml:space="preserve">Solution: When the lung re-expands and the air leak seals, bubbling stops — a normal sign of resolution. The nurse correlates it with breath sounds and X-ray, and reports persistent or new bubbling.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TSH level is approximately:</w:t>
      </w:r>
    </w:p>
    <w:p>
      <w:r>
        <w:t>(a) 20–40 mIU/L</w:t>
      </w:r>
    </w:p>
    <w:p>
      <w:r>
        <w:t>(b) 50–100 mIU/L</w:t>
      </w:r>
    </w:p>
    <w:p>
      <w:r>
        <w:t>(c) 200–400 mIU/L</w:t>
      </w:r>
    </w:p>
    <w:p>
      <w:r>
        <w:t>(d) 0.4–4.0 mIU/L</w:t>
      </w:r>
    </w:p>
    <w:p>
      <w:r>
        <w:t>Answer: d</w:t>
      </w:r>
    </w:p>
    <w:p>
      <w:r>
        <w:t xml:space="preserve">Solution: Normal TSH is 0.4–4.0 mIU/L. Elevated TSH suggests hypothyroidism; suppressed TSH suggests hyperthyroidism. TSH is the first-line thyroid screening test.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an ECG. Which action is correct?</w:t>
      </w:r>
    </w:p>
    <w:p>
      <w:r>
        <w:t>(a) Clean the skin, place electrodes on correct landmarks, and keep the patient still</w:t>
      </w:r>
    </w:p>
    <w:p>
      <w:r>
        <w:t>(b) Use expired electrodes</w:t>
      </w:r>
    </w:p>
    <w:p>
      <w:r>
        <w:t>(c) Place electrodes randomly</w:t>
      </w:r>
    </w:p>
    <w:p>
      <w:r>
        <w:t>(d) Allow movement during recording</w:t>
      </w:r>
    </w:p>
    <w:p>
      <w:r>
        <w:t>Answer: a</w:t>
      </w:r>
    </w:p>
    <w:p>
      <w:r>
        <w:t xml:space="preserve">Solution: Correct electrode placement on landmarks (limb + precordial V1–V6), clean skin, and a still, relaxed patient produce an accurate 12-lead ECG.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renal failure develops pruritus. The nurse should:</w:t>
      </w:r>
    </w:p>
    <w:p>
      <w:r>
        <w:t>(a) Use hot water baths</w:t>
      </w:r>
    </w:p>
    <w:p>
      <w:r>
        <w:t>(b) Restrict fluids</w:t>
      </w:r>
    </w:p>
    <w:p>
      <w:r>
        <w:t>(c) Encourage scratching</w:t>
      </w:r>
    </w:p>
    <w:p>
      <w:r>
        <w:t>(d) Use emollients, cool compresses, and monitor phosphate control</w:t>
      </w:r>
    </w:p>
    <w:p>
      <w:r>
        <w:t>Answer: d</w:t>
      </w:r>
    </w:p>
    <w:p>
      <w:r>
        <w:t xml:space="preserve">Solution: Uremic pruritus — emollients, cool compresses, antihistamines (as ordered), phosphate control, and adequate dialysis provide relief. Hot water and scratching worsen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third stage of labor has a retained placenta with heavy bleeding. The nurse should:</w:t>
      </w:r>
    </w:p>
    <w:p>
      <w:r>
        <w:t>(a) Notify the physician and prepare for manual removal/oxytocin</w:t>
      </w:r>
    </w:p>
    <w:p>
      <w:r>
        <w:t>(b) Pull the cord forcefully</w:t>
      </w:r>
    </w:p>
    <w:p>
      <w:r>
        <w:t>(c) Wait and observe</w:t>
      </w:r>
    </w:p>
    <w:p>
      <w:r>
        <w:t>(d) Send the patient home</w:t>
      </w:r>
    </w:p>
    <w:p>
      <w:r>
        <w:t>Answer: a</w:t>
      </w:r>
    </w:p>
    <w:p>
      <w:r>
        <w:t xml:space="preserve">Solution: Retained placenta risks hemorrhage and infection — the physician is notified for manual removal, oxytocin is given, and the nurse monitors blood loss and vital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diarrhea and vomiting is being rehydrated. The nurse should:</w:t>
      </w:r>
    </w:p>
    <w:p>
      <w:r>
        <w:t>(a) Give sugary drinks</w:t>
      </w:r>
    </w:p>
    <w:p>
      <w:r>
        <w:t>(b) Reassess hydration after ORS and continue feeding</w:t>
      </w:r>
    </w:p>
    <w:p>
      <w:r>
        <w:t>(c) Stop all feeding</w:t>
      </w:r>
    </w:p>
    <w:p>
      <w:r>
        <w:t>(d) Give only plain water</w:t>
      </w:r>
    </w:p>
    <w:p>
      <w:r>
        <w:t>Answer: b</w:t>
      </w:r>
    </w:p>
    <w:p>
      <w:r>
        <w:t xml:space="preserve">Solution: Rehydration with ORS, reassessment, and continued feeding (breastfeeding/nutritious food) treat diarrhea — with zinc supplementation per guidelines.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discharged. The nurse should teach the patient to:</w:t>
      </w:r>
    </w:p>
    <w:p>
      <w:r>
        <w:t>(a) Practice relaxation, take medications as prescribed, and attend therapy</w:t>
      </w:r>
    </w:p>
    <w:p>
      <w:r>
        <w:t>(b) Stop all treatment</w:t>
      </w:r>
    </w:p>
    <w:p>
      <w:r>
        <w:t>(c) Avoid coping skills</w:t>
      </w:r>
    </w:p>
    <w:p>
      <w:r>
        <w:t>(d) Isolate at home</w:t>
      </w:r>
    </w:p>
    <w:p>
      <w:r>
        <w:t>Answer: a</w:t>
      </w:r>
    </w:p>
    <w:p>
      <w:r>
        <w:t xml:space="preserve">Solution: Anxiety management — relaxation practice, medication adherence, CBT/therapy, and follow-up. The nurse provides a relapse-prevention plan and community resources.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part of which initiative for affordable healthcare?</w:t>
      </w:r>
    </w:p>
    <w:p>
      <w:r>
        <w:t>(a) PMBJP (Jan Aushadhi)</w:t>
      </w:r>
    </w:p>
    <w:p>
      <w:r>
        <w:t>(b) PM-JAY</w:t>
      </w:r>
    </w:p>
    <w:p>
      <w:r>
        <w:t>(c) PM-KISAN</w:t>
      </w:r>
    </w:p>
    <w:p>
      <w:r>
        <w:t>(d) PMVVY</w:t>
      </w:r>
    </w:p>
    <w:p>
      <w:r>
        <w:t>Answer: a</w:t>
      </w:r>
    </w:p>
    <w:p>
      <w:r>
        <w:t xml:space="preserve">Solution: Jan Aushadhi Kendras operate under PMBJP — making quality generic medicines affordable, complementing insurance schemes like PM-JAY.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0.8 mg of a medication. The vial contains 0.4 mg/mL. The volume to give is:</w:t>
      </w:r>
    </w:p>
    <w:p>
      <w:r>
        <w:t>(a) 4 mL</w:t>
      </w:r>
    </w:p>
    <w:p>
      <w:r>
        <w:t>(b) 1 mL</w:t>
      </w:r>
    </w:p>
    <w:p>
      <w:r>
        <w:t>(c) 2 mL</w:t>
      </w:r>
    </w:p>
    <w:p>
      <w:r>
        <w:t>(d) 3 mL</w:t>
      </w:r>
    </w:p>
    <w:p>
      <w:r>
        <w:t>Answer: c</w:t>
      </w:r>
    </w:p>
    <w:p>
      <w:r>
        <w:t xml:space="preserve">Solution: Volume = 0.8 ÷ 0.4 = 2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body temperature (oral) is approximately:</w:t>
      </w:r>
    </w:p>
    <w:p>
      <w:r>
        <w:t>(a) 34–35°C</w:t>
      </w:r>
    </w:p>
    <w:p>
      <w:r>
        <w:t>(b) 36.5–37.5°C</w:t>
      </w:r>
    </w:p>
    <w:p>
      <w:r>
        <w:t>(c) 42°C</w:t>
      </w:r>
    </w:p>
    <w:p>
      <w:r>
        <w:t>(d) 39–40°C</w:t>
      </w:r>
    </w:p>
    <w:p>
      <w:r>
        <w:t>Answer: b</w:t>
      </w:r>
    </w:p>
    <w:p>
      <w:r>
        <w:t xml:space="preserve">Solution: Normal oral temperature is 36.5–37.5°C; fever is ≥38°C. The nurse uses the appropriate route and documents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at risk for pressure injury. The nurse should:</w:t>
      </w:r>
    </w:p>
    <w:p>
      <w:r>
        <w:t>(a) Restrict fluids</w:t>
      </w:r>
    </w:p>
    <w:p>
      <w:r>
        <w:t>(b) Keep the patient in one position</w:t>
      </w:r>
    </w:p>
    <w:p>
      <w:r>
        <w:t>(c) Reposition every 2 hours, inspect skin, and use pressure-relieving devices</w:t>
      </w:r>
    </w:p>
    <w:p>
      <w:r>
        <w:t>(d) Massage bony prominences vigorously</w:t>
      </w:r>
    </w:p>
    <w:p>
      <w:r>
        <w:t>Answer: c</w:t>
      </w:r>
    </w:p>
    <w:p>
      <w:r>
        <w:t xml:space="preserve">Solution: Pressure injury prevention — repositioning every 2 hours, skin inspection, pressure-relieving surfaces, nutrition, and moisture management during traction.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