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acute gastroenteritis has some dehydration and is tolerating ORS. The nurse should:</w:t>
      </w:r>
    </w:p>
    <w:p>
      <w:r>
        <w:t>(a) Give antidiarrheals</w:t>
      </w:r>
    </w:p>
    <w:p>
      <w:r>
        <w:t>(b) Continue ORS, reassess after 4 hours, and continue feeding</w:t>
      </w:r>
    </w:p>
    <w:p>
      <w:r>
        <w:t>(c) Stop ORS</w:t>
      </w:r>
    </w:p>
    <w:p>
      <w:r>
        <w:t>(d) Give only water</w:t>
      </w:r>
    </w:p>
    <w:p>
      <w:r>
        <w:t>Answer: b</w:t>
      </w:r>
    </w:p>
    <w:p>
      <w:r>
        <w:t xml:space="preserve">Solution: Plan B — ORS 75 mL/kg over 4 hours with reassessment and continued feeding. Antidiarrheals are avoided in infectious diarrhea.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surgery. Which action is part of the pre-operative checklist?</w:t>
      </w:r>
    </w:p>
    <w:p>
      <w:r>
        <w:t>(a) Mark the wrong site</w:t>
      </w:r>
    </w:p>
    <w:p>
      <w:r>
        <w:t>(b) Verify NPO status, consent, identification, and surgical site marking</w:t>
      </w:r>
    </w:p>
    <w:p>
      <w:r>
        <w:t>(c) Skip the consent</w:t>
      </w:r>
    </w:p>
    <w:p>
      <w:r>
        <w:t>(d) Give a heavy meal</w:t>
      </w:r>
    </w:p>
    <w:p>
      <w:r>
        <w:t>Answer: b</w:t>
      </w:r>
    </w:p>
    <w:p>
      <w:r>
        <w:t xml:space="preserve">Solution: The pre-operative checklist verifies NPO, informed consent, patient identity (two identifiers), surgical site marking, allergies, and baseline vitals — preventing errors.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in the postpartum period is breastfeeding. The nurse should teach the mother that:</w:t>
      </w:r>
    </w:p>
    <w:p>
      <w:r>
        <w:t>(a) Breastfeeding delays involution</w:t>
      </w:r>
    </w:p>
    <w:p>
      <w:r>
        <w:t>(b) Breastfeeding causes hemorrhage</w:t>
      </w:r>
    </w:p>
    <w:p>
      <w:r>
        <w:t>(c) Breastfeeding helps uterine involution via oxytocin release</w:t>
      </w:r>
    </w:p>
    <w:p>
      <w:r>
        <w:t>(d) Breastfeeding is not recommended</w:t>
      </w:r>
    </w:p>
    <w:p>
      <w:r>
        <w:t>Answer: c</w:t>
      </w:r>
    </w:p>
    <w:p>
      <w:r>
        <w:t xml:space="preserve">Solution: Breastfeeding releases oxytocin — stimulating uterine contractions and involution (and reducing PPH risk). The nurse supports breastfeeding and correct positioning.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sickle cell disease has swelling and pain in the hands and feet. The nurse should:</w:t>
      </w:r>
    </w:p>
    <w:p>
      <w:r>
        <w:t>(a) Restrict fluids</w:t>
      </w:r>
    </w:p>
    <w:p>
      <w:r>
        <w:t>(b) Provide analgesia, hydration, warmth, and monitor for complications</w:t>
      </w:r>
    </w:p>
    <w:p>
      <w:r>
        <w:t>(c) Ignore the pain</w:t>
      </w:r>
    </w:p>
    <w:p>
      <w:r>
        <w:t>(d) Apply cold packs</w:t>
      </w:r>
    </w:p>
    <w:p>
      <w:r>
        <w:t>Answer: b</w:t>
      </w:r>
    </w:p>
    <w:p>
      <w:r>
        <w:t xml:space="preserve">Solution: Vaso-occlusive crisis — analgesia, hydration, warmth (not cold), and monitoring for acute chest syndrome. The nurse encourages rest and comfort measures.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being assessed for negative symptoms. Which is a negative symptom?</w:t>
      </w:r>
    </w:p>
    <w:p>
      <w:r>
        <w:t>(a) Disorganized speech</w:t>
      </w:r>
    </w:p>
    <w:p>
      <w:r>
        <w:t>(b) Hallucinations</w:t>
      </w:r>
    </w:p>
    <w:p>
      <w:r>
        <w:t>(c) Avolition (lack of motivation)</w:t>
      </w:r>
    </w:p>
    <w:p>
      <w:r>
        <w:t>(d) Delusions</w:t>
      </w:r>
    </w:p>
    <w:p>
      <w:r>
        <w:t>Answer: c</w:t>
      </w:r>
    </w:p>
    <w:p>
      <w:r>
        <w:t xml:space="preserve">Solution: Negative symptoms — avolition, alogia (poverty of speech), anhedonia, and flat affect. Hallucinations, delusions, and disorganized speech are positive symptoms.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provides medicines for which diseases?</w:t>
      </w:r>
    </w:p>
    <w:p>
      <w:r>
        <w:t>(a) Common and chronic diseases (diabetes, hypertension, infections, etc.)</w:t>
      </w:r>
    </w:p>
    <w:p>
      <w:r>
        <w:t>(b) Only cosmetics</w:t>
      </w:r>
    </w:p>
    <w:p>
      <w:r>
        <w:t>(c) Only rare diseases</w:t>
      </w:r>
    </w:p>
    <w:p>
      <w:r>
        <w:t>(d) No diseases</w:t>
      </w:r>
    </w:p>
    <w:p>
      <w:r>
        <w:t>Answer: a</w:t>
      </w:r>
    </w:p>
    <w:p>
      <w:r>
        <w:t xml:space="preserve">Solution: Jan Aushadhi Kendras stock medicines for common and chronic conditions — diabetes, hypertension, infections, and many more — at affordable prices.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420 mg of a medication. The tablets are 140 mg each. How many tablets are needed?</w:t>
      </w:r>
    </w:p>
    <w:p>
      <w:r>
        <w:t>(a) 3 tablets</w:t>
      </w:r>
    </w:p>
    <w:p>
      <w:r>
        <w:t>(b) 2 tablets</w:t>
      </w:r>
    </w:p>
    <w:p>
      <w:r>
        <w:t>(c) 4 tablets</w:t>
      </w:r>
    </w:p>
    <w:p>
      <w:r>
        <w:t>(d) 6 tablets</w:t>
      </w:r>
    </w:p>
    <w:p>
      <w:r>
        <w:t>Answer: a</w:t>
      </w:r>
    </w:p>
    <w:p>
      <w:r>
        <w:t xml:space="preserve">Solution: Tablets = 420 ÷ 140 = 3 tablets.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hypernatremia. Which intervention is appropriate?</w:t>
      </w:r>
    </w:p>
    <w:p>
      <w:r>
        <w:t>(a) Give salt tablets</w:t>
      </w:r>
    </w:p>
    <w:p>
      <w:r>
        <w:t>(b) Restrict all fluids</w:t>
      </w:r>
    </w:p>
    <w:p>
      <w:r>
        <w:t>(c) Ignore the sodium</w:t>
      </w:r>
    </w:p>
    <w:p>
      <w:r>
        <w:t>(d) Administer fluids as ordered and monitor sodium and neurological status</w:t>
      </w:r>
    </w:p>
    <w:p>
      <w:r>
        <w:t>Answer: d</w:t>
      </w:r>
    </w:p>
    <w:p>
      <w:r>
        <w:t xml:space="preserve">Solution: Hypernatremia — gradual correction with fluids (oral/IV), monitoring of sodium and neurological status, and treating the cause. Rapid correction risks cerebral edema.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respirations and notes Kussmaul breathing (deep, sighing). This pattern is associated with:</w:t>
      </w:r>
    </w:p>
    <w:p>
      <w:r>
        <w:t>(a) Metabolic acidosis (e.g., diabetic ketoacidosis)</w:t>
      </w:r>
    </w:p>
    <w:p>
      <w:r>
        <w:t>(b) Hypothyroidism</w:t>
      </w:r>
    </w:p>
    <w:p>
      <w:r>
        <w:t>(c) Sleep</w:t>
      </w:r>
    </w:p>
    <w:p>
      <w:r>
        <w:t>(d) Normal breathing</w:t>
      </w:r>
    </w:p>
    <w:p>
      <w:r>
        <w:t>Answer: a</w:t>
      </w:r>
    </w:p>
    <w:p>
      <w:r>
        <w:t xml:space="preserve">Solution: Kussmaul breathing — deep, rapid, sighing respirations — compensates for metabolic acidosis by blowing off CO2. It is seen in DKA and renal failure.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tibia in a cast is being taught about signs of compartment syndrome. Which sign should the patient report?</w:t>
      </w:r>
    </w:p>
    <w:p>
      <w:r>
        <w:t>(a) Severe pain that is not relieved by analgesics</w:t>
      </w:r>
    </w:p>
    <w:p>
      <w:r>
        <w:t>(b) Normal discomfort</w:t>
      </w:r>
    </w:p>
    <w:p>
      <w:r>
        <w:t>(c) Slight swelling</w:t>
      </w:r>
    </w:p>
    <w:p>
      <w:r>
        <w:t>(d) Mild itching</w:t>
      </w:r>
    </w:p>
    <w:p>
      <w:r>
        <w:t>Answer: a</w:t>
      </w:r>
    </w:p>
    <w:p>
      <w:r>
        <w:t xml:space="preserve">Solution: Compartment syndrome — severe, unrelieved pain with numbness, pallor, and pulselessness — is an emergency. The nurse teaches the patient to report these signs immediately.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renal failure is being taught about signs of fluid overload. The nurse should teach the patient to report:</w:t>
      </w:r>
    </w:p>
    <w:p>
      <w:r>
        <w:t>(a) Dry mouth only</w:t>
      </w:r>
    </w:p>
    <w:p>
      <w:r>
        <w:t>(b) Increased energy</w:t>
      </w:r>
    </w:p>
    <w:p>
      <w:r>
        <w:t>(c) Weight loss</w:t>
      </w:r>
    </w:p>
    <w:p>
      <w:r>
        <w:t>(d) Shortness of breath, swelling, and sudden weight gain</w:t>
      </w:r>
    </w:p>
    <w:p>
      <w:r>
        <w:t>Answer: d</w:t>
      </w:r>
    </w:p>
    <w:p>
      <w:r>
        <w:t xml:space="preserve">Solution: Fluid overload in renal failure — dyspnea, edema, and rapid weight gain (&gt;1–2 kg between dialysis sessions) require reporting — preventing pulmonary edema.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renal biopsy. The patient is positioned:</w:t>
      </w:r>
    </w:p>
    <w:p>
      <w:r>
        <w:t>(a) Trendelenburg</w:t>
      </w:r>
    </w:p>
    <w:p>
      <w:r>
        <w:t>(b) Prone with a pillow under the abdomen</w:t>
      </w:r>
    </w:p>
    <w:p>
      <w:r>
        <w:t>(c) Sitting</w:t>
      </w:r>
    </w:p>
    <w:p>
      <w:r>
        <w:t>(d) Supine flat</w:t>
      </w:r>
    </w:p>
    <w:p>
      <w:r>
        <w:t>Answer: b</w:t>
      </w:r>
    </w:p>
    <w:p>
      <w:r>
        <w:t xml:space="preserve">Solution: Renal biopsy — prone with a pillow under the abdomen (or lateral) stabilizes the kidney. Afterward, the patient lies flat with pressure on the site.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37 weeks of gestation is in early labor. The nurse should assess the fetal heart rate:</w:t>
      </w:r>
    </w:p>
    <w:p>
      <w:r>
        <w:t>(a) Once a day</w:t>
      </w:r>
    </w:p>
    <w:p>
      <w:r>
        <w:t>(b) Only at delivery</w:t>
      </w:r>
    </w:p>
    <w:p>
      <w:r>
        <w:t>(c) On admission and regularly as labor progresses</w:t>
      </w:r>
    </w:p>
    <w:p>
      <w:r>
        <w:t>(d) Never</w:t>
      </w:r>
    </w:p>
    <w:p>
      <w:r>
        <w:t>Answer: c</w:t>
      </w:r>
    </w:p>
    <w:p>
      <w:r>
        <w:t xml:space="preserve">Solution: FHR is assessed on admission and then at intervals per the stage of labor (every 30 min in active phase, every 15 min in second stage) — detecting fetal distress early.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2-year-old child with severe acute malnutrition has developed infection. The nurse should:</w:t>
      </w:r>
    </w:p>
    <w:p>
      <w:r>
        <w:t>(a) Delay treatment</w:t>
      </w:r>
    </w:p>
    <w:p>
      <w:r>
        <w:t>(b) Give only vitamins</w:t>
      </w:r>
    </w:p>
    <w:p>
      <w:r>
        <w:t>(c) Discharge the child</w:t>
      </w:r>
    </w:p>
    <w:p>
      <w:r>
        <w:t>(d) Treat the infection (antibiotics) as part of stabilization</w:t>
      </w:r>
    </w:p>
    <w:p>
      <w:r>
        <w:t>Answer: d</w:t>
      </w:r>
    </w:p>
    <w:p>
      <w:r>
        <w:t xml:space="preserve">Solution: SAM stabilization — antibiotics for infection, along with treatment of hypoglycemia, hypothermia, and dehydration, before nutritional rehabilitation.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generalized anxiety disorder is being discharged. Which statement indicates the need for further teaching?</w:t>
      </w:r>
    </w:p>
    <w:p>
      <w:r>
        <w:t>(a) "I will attend therapy sessions."</w:t>
      </w:r>
    </w:p>
    <w:p>
      <w:r>
        <w:t>(b) "I will avoid caffeine."</w:t>
      </w:r>
    </w:p>
    <w:p>
      <w:r>
        <w:t>(c) "I will practice relaxation daily."</w:t>
      </w:r>
    </w:p>
    <w:p>
      <w:r>
        <w:t>(d) "I will stop my medication as soon as I feel better."</w:t>
      </w:r>
    </w:p>
    <w:p>
      <w:r>
        <w:t>Answer: d</w:t>
      </w:r>
    </w:p>
    <w:p>
      <w:r>
        <w:t xml:space="preserve">Solution: SSRI/medication for anxiety must be tapered under supervision — stopping abruptly causes withdrawal and relapse. Relaxation, therapy, and caffeine avoidance are correct.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contributes to:</w:t>
      </w:r>
    </w:p>
    <w:p>
      <w:r>
        <w:t>(a) Medicine shortages</w:t>
      </w:r>
    </w:p>
    <w:p>
      <w:r>
        <w:t>(b) Universal health coverage and medicine access</w:t>
      </w:r>
    </w:p>
    <w:p>
      <w:r>
        <w:t>(c) Import dependence</w:t>
      </w:r>
    </w:p>
    <w:p>
      <w:r>
        <w:t>(d) Higher health costs</w:t>
      </w:r>
    </w:p>
    <w:p>
      <w:r>
        <w:t>Answer: b</w:t>
      </w:r>
    </w:p>
    <w:p>
      <w:r>
        <w:t xml:space="preserve">Solution: By making medicines affordable, Jan Aushadhi Kendras advance access and universal health coverage — reducing financial barriers to treatment.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40 mg of a medication. The vial contains 10 mg/mL. The volume to give is:</w:t>
      </w:r>
    </w:p>
    <w:p>
      <w:r>
        <w:t>(a) 3 mL</w:t>
      </w:r>
    </w:p>
    <w:p>
      <w:r>
        <w:t>(b) 2 mL</w:t>
      </w:r>
    </w:p>
    <w:p>
      <w:r>
        <w:t>(c) 5 mL</w:t>
      </w:r>
    </w:p>
    <w:p>
      <w:r>
        <w:t>(d) 4 mL</w:t>
      </w:r>
    </w:p>
    <w:p>
      <w:r>
        <w:t>Answer: d</w:t>
      </w:r>
    </w:p>
    <w:p>
      <w:r>
        <w:t xml:space="preserve">Solution: Volume = 40 ÷ 10 = 4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hypocalcemia. Which assessment finding is expected?</w:t>
      </w:r>
    </w:p>
    <w:p>
      <w:r>
        <w:t>(a) Bradycardia</w:t>
      </w:r>
    </w:p>
    <w:p>
      <w:r>
        <w:t>(b) Polyuria</w:t>
      </w:r>
    </w:p>
    <w:p>
      <w:r>
        <w:t>(c) Muscle cramps, tingling, and positive Chvostek's sign</w:t>
      </w:r>
    </w:p>
    <w:p>
      <w:r>
        <w:t>(d) Constipation</w:t>
      </w:r>
    </w:p>
    <w:p>
      <w:r>
        <w:t>Answer: c</w:t>
      </w:r>
    </w:p>
    <w:p>
      <w:r>
        <w:t xml:space="preserve">Solution: Hypocalcemia — neuromuscular irritability: muscle cramps, perioral tingling, tetany, and positive Chvostek's/Trousseau's signs. The nurse monitors calcium and replaces it as ordered.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level of consciousness. The patient is drowsy but responds to verbal stimuli. This is described as:</w:t>
      </w:r>
    </w:p>
    <w:p>
      <w:r>
        <w:t>(a) Lethargy</w:t>
      </w:r>
    </w:p>
    <w:p>
      <w:r>
        <w:t>(b) Stupor</w:t>
      </w:r>
    </w:p>
    <w:p>
      <w:r>
        <w:t>(c) Coma</w:t>
      </w:r>
    </w:p>
    <w:p>
      <w:r>
        <w:t>(d) Brain death</w:t>
      </w:r>
    </w:p>
    <w:p>
      <w:r>
        <w:t>Answer: a</w:t>
      </w:r>
    </w:p>
    <w:p>
      <w:r>
        <w:t xml:space="preserve">Solution: Lethargy — the patient is drowsy but responds to verbal stimuli. Stupor requires vigorous/painful stimuli; coma is unresponsive. The nurse documents the level and trends with the GCS.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is in traction. Which intervention prevents foot drop?</w:t>
      </w:r>
    </w:p>
    <w:p>
      <w:r>
        <w:t>(a) Let the foot hang</w:t>
      </w:r>
    </w:p>
    <w:p>
      <w:r>
        <w:t>(b) Restrict movement</w:t>
      </w:r>
    </w:p>
    <w:p>
      <w:r>
        <w:t>(c) Use a footboard or splint to maintain ankle position</w:t>
      </w:r>
    </w:p>
    <w:p>
      <w:r>
        <w:t>(d) Remove the splint</w:t>
      </w:r>
    </w:p>
    <w:p>
      <w:r>
        <w:t>Answer: c</w:t>
      </w:r>
    </w:p>
    <w:p>
      <w:r>
        <w:t xml:space="preserve">Solution: A footboard/splint maintains the foot in a neutral position — preventing foot drop (equinus deformity) from unopposed plantar flexion during traction.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