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creatinine level is:</w:t>
      </w:r>
    </w:p>
    <w:p>
      <w:r>
        <w:t>(a) 5–8 mg/dL</w:t>
      </w:r>
    </w:p>
    <w:p>
      <w:r>
        <w:t>(b) 2–4 mg/dL</w:t>
      </w:r>
    </w:p>
    <w:p>
      <w:r>
        <w:t>(c) 10–15 mg/dL</w:t>
      </w:r>
    </w:p>
    <w:p>
      <w:r>
        <w:t>(d) 0.6–1.2 mg/dL (men); 0.5–1.1 (women)</w:t>
      </w:r>
    </w:p>
    <w:p>
      <w:r>
        <w:t>Answer: d</w:t>
      </w:r>
    </w:p>
    <w:p>
      <w:r>
        <w:t xml:space="preserve">Solution: Normal creatinine is 0.6–1.2 mg/dL in men and 0.5–1.1 in women — reflecting renal function. Rising levels indicate declining GFR.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an IV infusion. Which finding indicates a patent (functioning) IV?</w:t>
      </w:r>
    </w:p>
    <w:p>
      <w:r>
        <w:t>(a) Swelling at the site</w:t>
      </w:r>
    </w:p>
    <w:p>
      <w:r>
        <w:t>(b) Blood return and free flow of the solution</w:t>
      </w:r>
    </w:p>
    <w:p>
      <w:r>
        <w:t>(c) No flow</w:t>
      </w:r>
    </w:p>
    <w:p>
      <w:r>
        <w:t>(d) Coolness and pallor</w:t>
      </w:r>
    </w:p>
    <w:p>
      <w:r>
        <w:t>Answer: b</w:t>
      </w:r>
    </w:p>
    <w:p>
      <w:r>
        <w:t xml:space="preserve">Solution: A patent IV shows blood return on aspiration and free flow of the solution. Swelling/coolness indicate infiltration; no flow suggests occlusion.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hyperthyroidism is being treated. The nurse should monitor for:</w:t>
      </w:r>
    </w:p>
    <w:p>
      <w:r>
        <w:t>(a) Weight, heart rate, and symptoms of thyroid storm</w:t>
      </w:r>
    </w:p>
    <w:p>
      <w:r>
        <w:t>(b) Only weight</w:t>
      </w:r>
    </w:p>
    <w:p>
      <w:r>
        <w:t>(c) Only appetite</w:t>
      </w:r>
    </w:p>
    <w:p>
      <w:r>
        <w:t>(d) Only temperature</w:t>
      </w:r>
    </w:p>
    <w:p>
      <w:r>
        <w:t>Answer: a</w:t>
      </w:r>
    </w:p>
    <w:p>
      <w:r>
        <w:t xml:space="preserve">Solution: Hyperthyroidism — the nurse monitors weight, heart rate, temperature, and signs of thyroid storm (fever, tachycardia, agitation), and administers medications.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34 weeks of gestation is diagnosed with placenta previa and is hospitalized. The nurse should:</w:t>
      </w:r>
    </w:p>
    <w:p>
      <w:r>
        <w:t>(a) Give an enema</w:t>
      </w:r>
    </w:p>
    <w:p>
      <w:r>
        <w:t>(b) Monitor bleeding, vitals, and fetal heart rate; avoid vaginal exams</w:t>
      </w:r>
    </w:p>
    <w:p>
      <w:r>
        <w:t>(c) Send the patient home</w:t>
      </w:r>
    </w:p>
    <w:p>
      <w:r>
        <w:t>(d) Perform a vaginal examination</w:t>
      </w:r>
    </w:p>
    <w:p>
      <w:r>
        <w:t>Answer: b</w:t>
      </w:r>
    </w:p>
    <w:p>
      <w:r>
        <w:t xml:space="preserve">Solution: Placenta previa — monitoring of bleeding, vitals, and FHR, with pelvic rest and avoidance of vaginal exams/enemas. Cesarean delivery is planned.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5-year-old child with acute rheumatic fever has carditis. The nurse should:</w:t>
      </w:r>
    </w:p>
    <w:p>
      <w:r>
        <w:t>(a) Encourage vigorous play</w:t>
      </w:r>
    </w:p>
    <w:p>
      <w:r>
        <w:t>(b) Skip monitoring</w:t>
      </w:r>
    </w:p>
    <w:p>
      <w:r>
        <w:t>(c) Maintain bed rest and monitor for heart failure</w:t>
      </w:r>
    </w:p>
    <w:p>
      <w:r>
        <w:t>(d) Send the child to school</w:t>
      </w:r>
    </w:p>
    <w:p>
      <w:r>
        <w:t>Answer: c</w:t>
      </w:r>
    </w:p>
    <w:p>
      <w:r>
        <w:t xml:space="preserve">Solution: Rheumatic carditis — bed rest reduces cardiac workload; the nurse monitors for dyspnea, edema, and arrhythmias, and ensures penicillin prophylaxis.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obsessive-compulsive disorder is being discharged. The nurse should teach the patient to:</w:t>
      </w:r>
    </w:p>
    <w:p>
      <w:r>
        <w:t>(a) Avoid all triggers</w:t>
      </w:r>
    </w:p>
    <w:p>
      <w:r>
        <w:t>(b) Skip follow-up</w:t>
      </w:r>
    </w:p>
    <w:p>
      <w:r>
        <w:t>(c) Stop treatment when symptoms improve</w:t>
      </w:r>
    </w:p>
    <w:p>
      <w:r>
        <w:t>(d) Continue medication and ERP, and attend follow-up</w:t>
      </w:r>
    </w:p>
    <w:p>
      <w:r>
        <w:t>Answer: d</w:t>
      </w:r>
    </w:p>
    <w:p>
      <w:r>
        <w:t xml:space="preserve">Solution: OCD — continued SSRIs and ERP practice, with follow-up, maintain remission. Stopping abruptly causes relapse.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medicines are:</w:t>
      </w:r>
    </w:p>
    <w:p>
      <w:r>
        <w:t>(a) Quality-tested generic medicines</w:t>
      </w:r>
    </w:p>
    <w:p>
      <w:r>
        <w:t>(b) Expired medicines</w:t>
      </w:r>
    </w:p>
    <w:p>
      <w:r>
        <w:t>(c) Samples only</w:t>
      </w:r>
    </w:p>
    <w:p>
      <w:r>
        <w:t>(d) Placebos</w:t>
      </w:r>
    </w:p>
    <w:p>
      <w:r>
        <w:t>Answer: a</w:t>
      </w:r>
    </w:p>
    <w:p>
      <w:r>
        <w:t xml:space="preserve">Solution: Jan Aushadhi medicines are quality-tested generics — safe, effective, and affordable.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100 mg of a medication. The vial contains 40 mg/mL. The volume to give is:</w:t>
      </w:r>
    </w:p>
    <w:p>
      <w:r>
        <w:t>(a) 3 mL</w:t>
      </w:r>
    </w:p>
    <w:p>
      <w:r>
        <w:t>(b) 2 mL</w:t>
      </w:r>
    </w:p>
    <w:p>
      <w:r>
        <w:t>(c) 2.5 mL</w:t>
      </w:r>
    </w:p>
    <w:p>
      <w:r>
        <w:t>(d) 4 mL</w:t>
      </w:r>
    </w:p>
    <w:p>
      <w:r>
        <w:t>Answer: c</w:t>
      </w:r>
    </w:p>
    <w:p>
      <w:r>
        <w:t xml:space="preserve">Solution: Volume = 100 ÷ 40 = 2.5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respiratory rate is:</w:t>
      </w:r>
    </w:p>
    <w:p>
      <w:r>
        <w:t>(a) 30–40 breaths per minute</w:t>
      </w:r>
    </w:p>
    <w:p>
      <w:r>
        <w:t>(b) 50–60 breaths per minute</w:t>
      </w:r>
    </w:p>
    <w:p>
      <w:r>
        <w:t>(c) 4–6 breaths per minute</w:t>
      </w:r>
    </w:p>
    <w:p>
      <w:r>
        <w:t>(d) 12–20 breaths per minute</w:t>
      </w:r>
    </w:p>
    <w:p>
      <w:r>
        <w:t>Answer: d</w:t>
      </w:r>
    </w:p>
    <w:p>
      <w:r>
        <w:t xml:space="preserve">Solution: Normal adult respiratory rate is 12–20 breaths/min.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chest tube has the water seal chamber at the correct level. The nurse should:</w:t>
      </w:r>
    </w:p>
    <w:p>
      <w:r>
        <w:t>(a) Disconnect the suction</w:t>
      </w:r>
    </w:p>
    <w:p>
      <w:r>
        <w:t>(b) Raise the system above the chest</w:t>
      </w:r>
    </w:p>
    <w:p>
      <w:r>
        <w:t>(c) Empty the water seal</w:t>
      </w:r>
    </w:p>
    <w:p>
      <w:r>
        <w:t>(d) Maintain the water level and keep the system below the chest</w:t>
      </w:r>
    </w:p>
    <w:p>
      <w:r>
        <w:t>Answer: d</w:t>
      </w:r>
    </w:p>
    <w:p>
      <w:r>
        <w:t xml:space="preserve">Solution: The water seal level is maintained (usually 2 cm), and the system stays below chest level for gravity drainage — preventing pneumothorax.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TSH level is:</w:t>
      </w:r>
    </w:p>
    <w:p>
      <w:r>
        <w:t>(a) 0.4–4.0 mIU/L</w:t>
      </w:r>
    </w:p>
    <w:p>
      <w:r>
        <w:t>(b) 50–100 mIU/L</w:t>
      </w:r>
    </w:p>
    <w:p>
      <w:r>
        <w:t>(c) 20–40 mIU/L</w:t>
      </w:r>
    </w:p>
    <w:p>
      <w:r>
        <w:t>(d) 200–400 mIU/L</w:t>
      </w:r>
    </w:p>
    <w:p>
      <w:r>
        <w:t>Answer: a</w:t>
      </w:r>
    </w:p>
    <w:p>
      <w:r>
        <w:t xml:space="preserve">Solution: Normal TSH is 0.4–4.0 mIU/L — elevated in hypothyroidism, suppressed in hyperthyroidism. TSH is the first-line thyroid screening test.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colostomy. Which statement indicates correct understanding of diet?</w:t>
      </w:r>
    </w:p>
    <w:p>
      <w:r>
        <w:t>(a) "I will avoid all vegetables."</w:t>
      </w:r>
    </w:p>
    <w:p>
      <w:r>
        <w:t>(b) "I will skip fluids."</w:t>
      </w:r>
    </w:p>
    <w:p>
      <w:r>
        <w:t>(c) "I will introduce new foods gradually and chew well."</w:t>
      </w:r>
    </w:p>
    <w:p>
      <w:r>
        <w:t>(d) "I will eat only fried foods."</w:t>
      </w:r>
    </w:p>
    <w:p>
      <w:r>
        <w:t>Answer: c</w:t>
      </w:r>
    </w:p>
    <w:p>
      <w:r>
        <w:t xml:space="preserve">Solution: Colostomy diet — a balanced diet with gradual introduction of new foods, adequate chewing, and fluids; gas/odor foods are identified individually.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renal failure is being taught about erythropoietin therapy. The nurse should teach the patient that:</w:t>
      </w:r>
    </w:p>
    <w:p>
      <w:r>
        <w:t>(a) The drug cures renal failure</w:t>
      </w:r>
    </w:p>
    <w:p>
      <w:r>
        <w:t>(b) Hemoglobin and blood pressure are monitored during therapy</w:t>
      </w:r>
    </w:p>
    <w:p>
      <w:r>
        <w:t>(c) No monitoring is needed</w:t>
      </w:r>
    </w:p>
    <w:p>
      <w:r>
        <w:t>(d) Iron is unnecessary</w:t>
      </w:r>
    </w:p>
    <w:p>
      <w:r>
        <w:t>Answer: b</w:t>
      </w:r>
    </w:p>
    <w:p>
      <w:r>
        <w:t xml:space="preserve">Solution: Erythropoietin — the nurse monitors hemoglobin (target 10–12 g/dL), blood pressure (hypertension risk), and iron levels (improves response).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40 weeks of gestation is in the second stage of labor. The nurse notes the fetal head is crowning. The priority is to:</w:t>
      </w:r>
    </w:p>
    <w:p>
      <w:r>
        <w:t>(a) Support the perineum and guide a controlled delivery</w:t>
      </w:r>
    </w:p>
    <w:p>
      <w:r>
        <w:t>(b) Leave the patient</w:t>
      </w:r>
    </w:p>
    <w:p>
      <w:r>
        <w:t>(c) Push on the fundus</w:t>
      </w:r>
    </w:p>
    <w:p>
      <w:r>
        <w:t>(d) Pull the head forcefully</w:t>
      </w:r>
    </w:p>
    <w:p>
      <w:r>
        <w:t>Answer: a</w:t>
      </w:r>
    </w:p>
    <w:p>
      <w:r>
        <w:t xml:space="preserve">Solution: Crowning — perineal support and controlled, slow delivery of the head reduce perineal tearing. The nurse coaches panting and monitors the FHR.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6-month-old infant with severe acute malnutrition is being assessed. Which finding indicates a need for urgent care?</w:t>
      </w:r>
    </w:p>
    <w:p>
      <w:r>
        <w:t>(a) Hypoglycemia and hypothermia</w:t>
      </w:r>
    </w:p>
    <w:p>
      <w:r>
        <w:t>(b) Mild weight loss</w:t>
      </w:r>
    </w:p>
    <w:p>
      <w:r>
        <w:t>(c) Stable temperature</w:t>
      </w:r>
    </w:p>
    <w:p>
      <w:r>
        <w:t>(d) Normal appetite</w:t>
      </w:r>
    </w:p>
    <w:p>
      <w:r>
        <w:t>Answer: a</w:t>
      </w:r>
    </w:p>
    <w:p>
      <w:r>
        <w:t xml:space="preserve">Solution: SAM with hypoglycemia/hypothermia — the nurse gives glucose, warms the infant, and treats infection — urgent stabilization prevents death.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an anxiety disorder is being taught about benzodiazepines. The nurse should teach the patient that benzodiazepines:</w:t>
      </w:r>
    </w:p>
    <w:p>
      <w:r>
        <w:t>(a) Are safe for lifelong use</w:t>
      </w:r>
    </w:p>
    <w:p>
      <w:r>
        <w:t>(b) Are for short-term use due to dependence risk</w:t>
      </w:r>
    </w:p>
    <w:p>
      <w:r>
        <w:t>(c) Have no side effects</w:t>
      </w:r>
    </w:p>
    <w:p>
      <w:r>
        <w:t>(d) Can be combined with alcohol</w:t>
      </w:r>
    </w:p>
    <w:p>
      <w:r>
        <w:t>Answer: b</w:t>
      </w:r>
    </w:p>
    <w:p>
      <w:r>
        <w:t xml:space="preserve">Solution: Benzodiazepines — short-term use, dependence/tolerance risk, sedation, and dangerous alcohol interactions. Long-term management uses SSRIs and CBT.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outlets are identified by:</w:t>
      </w:r>
    </w:p>
    <w:p>
      <w:r>
        <w:t>(a) No identification</w:t>
      </w:r>
    </w:p>
    <w:p>
      <w:r>
        <w:t>(b) Foreign branding</w:t>
      </w:r>
    </w:p>
    <w:p>
      <w:r>
        <w:t>(c) The Jan Aushadhi logo</w:t>
      </w:r>
    </w:p>
    <w:p>
      <w:r>
        <w:t>(d) Private branding</w:t>
      </w:r>
    </w:p>
    <w:p>
      <w:r>
        <w:t>Answer: c</w:t>
      </w:r>
    </w:p>
    <w:p>
      <w:r>
        <w:t xml:space="preserve">Solution: Jan Aushadhi Kendras display the Jan Aushadhi logo — helping citizens identify affordable generic medicine outlets.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0.3 mg of a medication. The vial contains 0.1 mg/mL. The volume to give is:</w:t>
      </w:r>
    </w:p>
    <w:p>
      <w:r>
        <w:t>(a) 2 mL</w:t>
      </w:r>
    </w:p>
    <w:p>
      <w:r>
        <w:t>(b) 5 mL</w:t>
      </w:r>
    </w:p>
    <w:p>
      <w:r>
        <w:t>(c) 3 mL</w:t>
      </w:r>
    </w:p>
    <w:p>
      <w:r>
        <w:t>(d) 4 mL</w:t>
      </w:r>
    </w:p>
    <w:p>
      <w:r>
        <w:t>Answer: c</w:t>
      </w:r>
    </w:p>
    <w:p>
      <w:r>
        <w:t xml:space="preserve">Solution: Volume = 0.3 ÷ 0.1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heart rate is:</w:t>
      </w:r>
    </w:p>
    <w:p>
      <w:r>
        <w:t>(a) 20–40 beats per minute</w:t>
      </w:r>
    </w:p>
    <w:p>
      <w:r>
        <w:t>(b) 60–100 beats per minute</w:t>
      </w:r>
    </w:p>
    <w:p>
      <w:r>
        <w:t>(c) 160–200 beats per minute</w:t>
      </w:r>
    </w:p>
    <w:p>
      <w:r>
        <w:t>(d) 120–160 beats per minute</w:t>
      </w:r>
    </w:p>
    <w:p>
      <w:r>
        <w:t>Answer: b</w:t>
      </w:r>
    </w:p>
    <w:p>
      <w:r>
        <w:t xml:space="preserve">Solution: Normal adult resting heart rate is 60–100 bpm.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femur in traction is at risk for contractures. The nurse should:</w:t>
      </w:r>
    </w:p>
    <w:p>
      <w:r>
        <w:t>(a) Immobilize the joints permanently</w:t>
      </w:r>
    </w:p>
    <w:p>
      <w:r>
        <w:t>(b) Skip exercises</w:t>
      </w:r>
    </w:p>
    <w:p>
      <w:r>
        <w:t>(c) Restrict movement</w:t>
      </w:r>
    </w:p>
    <w:p>
      <w:r>
        <w:t>(d) Perform range-of-motion exercises and maintain alignment</w:t>
      </w:r>
    </w:p>
    <w:p>
      <w:r>
        <w:t>Answer: d</w:t>
      </w:r>
    </w:p>
    <w:p>
      <w:r>
        <w:t xml:space="preserve">Solution: Range-of-motion exercises (unaffected joints), foot support, and traction alignment prevent contractures during immobilization.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