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at 37 weeks gestation is in labor. The fetal heart rate baseline is 150 beats per minute with moderate variability and accelerations. The nurse interprets this pattern as:</w:t>
      </w:r>
    </w:p>
    <w:p>
      <w:r>
        <w:t>(a) Concerning</w:t>
      </w:r>
    </w:p>
    <w:p>
      <w:r>
        <w:t>(b) Indicating fetal distress</w:t>
      </w:r>
    </w:p>
    <w:p>
      <w:r>
        <w:t>(c) Reassuring</w:t>
      </w:r>
    </w:p>
    <w:p>
      <w:r>
        <w:t>(d) Late decelerations</w:t>
      </w:r>
    </w:p>
    <w:p>
      <w:r>
        <w:t>Answer: c</w:t>
      </w:r>
    </w:p>
    <w:p>
      <w:r>
        <w:t xml:space="preserve">Solution: A baseline of 110–160 bpm with moderate variability and accelerations is a reassuring fetal heart rate pattern. Late or severe variable decelerations would indicate distress.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postpartum client who delivered 6 hours ago has a boggy fundus that is displaced to the right. The priority nursing action is:</w:t>
      </w:r>
    </w:p>
    <w:p>
      <w:r>
        <w:t>(a) Notify the physician immediately</w:t>
      </w:r>
    </w:p>
    <w:p>
      <w:r>
        <w:t>(b) Apply an ice pack to the abdomen</w:t>
      </w:r>
    </w:p>
    <w:p>
      <w:r>
        <w:t>(c) Empty the bladder and massage the fundus</w:t>
      </w:r>
    </w:p>
    <w:p>
      <w:r>
        <w:t>(d) Place the client in Trendelenburg position</w:t>
      </w:r>
    </w:p>
    <w:p>
      <w:r>
        <w:t>Answer: c</w:t>
      </w:r>
    </w:p>
    <w:p>
      <w:r>
        <w:t xml:space="preserve">Solution: A boggy, displaced fundus usually indicates a full bladder pushing the uterus up and preventing contraction. The nurse assists the client to void and massages the fundus to firm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is diagnosed with neonatal jaundice. Which finding indicates a need for phototherapy?</w:t>
      </w:r>
    </w:p>
    <w:p>
      <w:r>
        <w:t>(a) Total bilirubin above the treatment threshold for the infant's age</w:t>
      </w:r>
    </w:p>
    <w:p>
      <w:r>
        <w:t>(b) Slight jaundice of the face on day 2</w:t>
      </w:r>
    </w:p>
    <w:p>
      <w:r>
        <w:t>(c) Pink, hydrated skin</w:t>
      </w:r>
    </w:p>
    <w:p>
      <w:r>
        <w:t>(d) Normal feeding and output</w:t>
      </w:r>
    </w:p>
    <w:p>
      <w:r>
        <w:t>Answer: a</w:t>
      </w:r>
    </w:p>
    <w:p>
      <w:r>
        <w:t xml:space="preserve">Solution: Phototherapy is started when bilirubin levels exceed the age-specific threshold. Mild facial jaundice with normal feeding is common; the decision is based on bilirubin values.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teaching a mother about safe sleep for her infant. Which instruction is correct?</w:t>
      </w:r>
    </w:p>
    <w:p>
      <w:r>
        <w:t>(a) Place the infant on the back to sleep on a firm mattress</w:t>
      </w:r>
    </w:p>
    <w:p>
      <w:r>
        <w:t>(b) Put soft pillows and toys in the crib</w:t>
      </w:r>
    </w:p>
    <w:p>
      <w:r>
        <w:t>(c) Cover the infant's face with a blanket</w:t>
      </w:r>
    </w:p>
    <w:p>
      <w:r>
        <w:t>(d) Place the infant on the stomach to sleep</w:t>
      </w:r>
    </w:p>
    <w:p>
      <w:r>
        <w:t>Answer: a</w:t>
      </w:r>
    </w:p>
    <w:p>
      <w:r>
        <w:t xml:space="preserve">Solution: Back sleeping on a firm mattress with a bare crib reduces the risk of sudden infant death syndrome (SIDS). Soft bedding, toys, and prone sleeping increase SIDS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a diagnosis of bronchiolitis (RSV) has increased work of breathing. Which nursing intervention is most important?</w:t>
      </w:r>
    </w:p>
    <w:p>
      <w:r>
        <w:t>(a) Encourage deep coughing exercises</w:t>
      </w:r>
    </w:p>
    <w:p>
      <w:r>
        <w:t>(b) Offer thick foods</w:t>
      </w:r>
    </w:p>
    <w:p>
      <w:r>
        <w:t>(c) Suction the nares and maintain hydration</w:t>
      </w:r>
    </w:p>
    <w:p>
      <w:r>
        <w:t>(d) Place the child prone</w:t>
      </w:r>
    </w:p>
    <w:p>
      <w:r>
        <w:t>Answer: c</w:t>
      </w:r>
    </w:p>
    <w:p>
      <w:r>
        <w:t xml:space="preserve">Solution: RSV bronchiolitis in infants causes nasal congestion and increased work of breathing; nasal suctioning before feeds, hydration, and positioning help the infant breathe and feed.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is admitted with a diagnosis of nephrotic syndrome. Which assessment finding is most characteristic?</w:t>
      </w:r>
    </w:p>
    <w:p>
      <w:r>
        <w:t>(a) Polyuria</w:t>
      </w:r>
    </w:p>
    <w:p>
      <w:r>
        <w:t>(b) Generalized edema and proteinuria</w:t>
      </w:r>
    </w:p>
    <w:p>
      <w:r>
        <w:t>(c) Hematuria with hypertension</w:t>
      </w:r>
    </w:p>
    <w:p>
      <w:r>
        <w:t>(d) Jaundice</w:t>
      </w:r>
    </w:p>
    <w:p>
      <w:r>
        <w:t>Answer: b</w:t>
      </w:r>
    </w:p>
    <w:p>
      <w:r>
        <w:t xml:space="preserve">Solution: Nephrotic syndrome causes massive proteinuria, hypoalbuminemia, and generalized edema (including periorbital swelling). Hematuria and hypertension are more typical of glomerulonephritis.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a diagnosis of meningitis is placed on droplet precautions. Which nursing intervention is most important?</w:t>
      </w:r>
    </w:p>
    <w:p>
      <w:r>
        <w:t>(a) Administer antibiotics and maintain isolation precautions</w:t>
      </w:r>
    </w:p>
    <w:p>
      <w:r>
        <w:t>(b) Restrict fluids aggressively</w:t>
      </w:r>
    </w:p>
    <w:p>
      <w:r>
        <w:t>(c) Avoid all stimulation</w:t>
      </w:r>
    </w:p>
    <w:p>
      <w:r>
        <w:t>(d) Keep the child NPO</w:t>
      </w:r>
    </w:p>
    <w:p>
      <w:r>
        <w:t>Answer: a</w:t>
      </w:r>
    </w:p>
    <w:p>
      <w:r>
        <w:t xml:space="preserve">Solution: Prompt antibiotics and droplet precautions are essential for bacterial meningitis. Fluid management is individualized, and gentle handling reduces pain from meningeal irritation.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at 30 weeks gestation reports leaking fluid from the vagina. The nurse should first:</w:t>
      </w:r>
    </w:p>
    <w:p>
      <w:r>
        <w:t>(a) Encourage the client to walk around</w:t>
      </w:r>
    </w:p>
    <w:p>
      <w:r>
        <w:t>(b) Assess the fluid with nitrazine paper to check for amniotic fluid</w:t>
      </w:r>
    </w:p>
    <w:p>
      <w:r>
        <w:t>(c) Give the client an enema</w:t>
      </w:r>
    </w:p>
    <w:p>
      <w:r>
        <w:t>(d) Discharge the client home</w:t>
      </w:r>
    </w:p>
    <w:p>
      <w:r>
        <w:t>Answer: b</w:t>
      </w:r>
    </w:p>
    <w:p>
      <w:r>
        <w:t xml:space="preserve">Solution: Nitrazine paper turns blue in amniotic fluid (alkaline), helping confirm rupture of membranes. The client is then evaluated for labor and infection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postpartum client is being discharged and asks when she can resume intercourse. The best response is:</w:t>
      </w:r>
    </w:p>
    <w:p>
      <w:r>
        <w:t>(a) "You can resume tomorrow."</w:t>
      </w:r>
    </w:p>
    <w:p>
      <w:r>
        <w:t>(b) "Usually after the postpartum checkup at 4–6 weeks, when bleeding has stopped."</w:t>
      </w:r>
    </w:p>
    <w:p>
      <w:r>
        <w:t>(c) "You must wait 6 months."</w:t>
      </w:r>
    </w:p>
    <w:p>
      <w:r>
        <w:t>(d) "It is not safe to ever resume."</w:t>
      </w:r>
    </w:p>
    <w:p>
      <w:r>
        <w:t>Answer: b</w:t>
      </w:r>
    </w:p>
    <w:p>
      <w:r>
        <w:t xml:space="preserve">Solution: Sexual intercourse is typically resumed after the postpartum checkup (4–6 weeks) once lochia has stopped and healing is complete. Contraception is discussed.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newborn's reflexes. Which reflex normally disappears by 4–6 months of age?</w:t>
      </w:r>
    </w:p>
    <w:p>
      <w:r>
        <w:t>(a) Babinski reflex disappears by 1 year</w:t>
      </w:r>
    </w:p>
    <w:p>
      <w:r>
        <w:t>(b) Moro reflex</w:t>
      </w:r>
    </w:p>
    <w:p>
      <w:r>
        <w:t>(c) Stepping reflex appears at 2 years</w:t>
      </w:r>
    </w:p>
    <w:p>
      <w:r>
        <w:t>(d) Rooting reflex persists into adulthood</w:t>
      </w:r>
    </w:p>
    <w:p>
      <w:r>
        <w:t>Answer: b</w:t>
      </w:r>
    </w:p>
    <w:p>
      <w:r>
        <w:t xml:space="preserve">Solution: The Moro (startle) reflex normally disappears by 4–6 months. Rooting disappears by about 4 months, Babinski by 1–2 years, and stepping by 2 months.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schizophrenia is exhibiting echolalia — repeating the nurse's words. The nurse's best response is:</w:t>
      </w:r>
    </w:p>
    <w:p>
      <w:r>
        <w:t>(a) Repeat the client's words back</w:t>
      </w:r>
    </w:p>
    <w:p>
      <w:r>
        <w:t>(b) Raise the voice to interrupt</w:t>
      </w:r>
    </w:p>
    <w:p>
      <w:r>
        <w:t>(c) Leave the room</w:t>
      </w:r>
    </w:p>
    <w:p>
      <w:r>
        <w:t>(d) Speak in simple, direct sentences and ignore the echolalia</w:t>
      </w:r>
    </w:p>
    <w:p>
      <w:r>
        <w:t>Answer: d</w:t>
      </w:r>
    </w:p>
    <w:p>
      <w:r>
        <w:t xml:space="preserve">Solution: Echolalia is managed by using clear, simple communication and not reinforcing the repetition. Arguing or raising the voice escalates anxiety.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major depressive disorder is prescribed sertraline. The nurse should teach the client that:</w:t>
      </w:r>
    </w:p>
    <w:p>
      <w:r>
        <w:t>(a) The full therapeutic effect may take 2–4 weeks</w:t>
      </w:r>
    </w:p>
    <w:p>
      <w:r>
        <w:t>(b) The drug can be stopped abruptly</w:t>
      </w:r>
    </w:p>
    <w:p>
      <w:r>
        <w:t>(c) The drug works immediately</w:t>
      </w:r>
    </w:p>
    <w:p>
      <w:r>
        <w:t>(d) No side effects are expected</w:t>
      </w:r>
    </w:p>
    <w:p>
      <w:r>
        <w:t>Answer: a</w:t>
      </w:r>
    </w:p>
    <w:p>
      <w:r>
        <w:t xml:space="preserve">Solution: SSRIs take 2–4 weeks (sometimes 6) for full effect and are tapered rather than stopped abruptly. Early side effects include nausea and headache.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dementia who is agitated. Which intervention is most appropriate?</w:t>
      </w:r>
    </w:p>
    <w:p>
      <w:r>
        <w:t>(a) Give the client unlimited caffeine</w:t>
      </w:r>
    </w:p>
    <w:p>
      <w:r>
        <w:t>(b) Restrain the client immediately</w:t>
      </w:r>
    </w:p>
    <w:p>
      <w:r>
        <w:t>(c) Identify and remove the cause of agitation, then reorient calmly</w:t>
      </w:r>
    </w:p>
    <w:p>
      <w:r>
        <w:t>(d) Raise the voice to correct the client</w:t>
      </w:r>
    </w:p>
    <w:p>
      <w:r>
        <w:t>Answer: c</w:t>
      </w:r>
    </w:p>
    <w:p>
      <w:r>
        <w:t xml:space="preserve">Solution: Agitation in dementia is managed by finding the trigger (pain, hunger, noise, toileting need) and providing a calm, reassuring environment. Restraints and confrontation increase distress.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community health nurse is planning a program to prevent anemia in pregnant women. Which intervention is most appropriate?</w:t>
      </w:r>
    </w:p>
    <w:p>
      <w:r>
        <w:t>(a) Provide only dietary advice</w:t>
      </w:r>
    </w:p>
    <w:p>
      <w:r>
        <w:t>(b) Restrict protein intake</w:t>
      </w:r>
    </w:p>
    <w:p>
      <w:r>
        <w:t>(c) Screen after delivery only</w:t>
      </w:r>
    </w:p>
    <w:p>
      <w:r>
        <w:t>(d) Distribute iron and folic acid supplements with counseling</w:t>
      </w:r>
    </w:p>
    <w:p>
      <w:r>
        <w:t>Answer: d</w:t>
      </w:r>
    </w:p>
    <w:p>
      <w:r>
        <w:t xml:space="preserve">Solution: Iron and folic acid supplementation during pregnancy is a proven intervention to prevent anemia. Education on iron-rich foods and compliance monitoring are included.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calculating the maternal mortality ratio. The formula uses:</w:t>
      </w:r>
    </w:p>
    <w:p>
      <w:r>
        <w:t>(a) Maternal deaths per 100,000 live births</w:t>
      </w:r>
    </w:p>
    <w:p>
      <w:r>
        <w:t>(b) Total deaths per 1000 population</w:t>
      </w:r>
    </w:p>
    <w:p>
      <w:r>
        <w:t>(c) Infant deaths per 1000 live births</w:t>
      </w:r>
    </w:p>
    <w:p>
      <w:r>
        <w:t>(d) Maternal deaths per 1000 live births</w:t>
      </w:r>
    </w:p>
    <w:p>
      <w:r>
        <w:t>Answer: a</w:t>
      </w:r>
    </w:p>
    <w:p>
      <w:r>
        <w:t xml:space="preserve">Solution: The maternal mortality ratio is the number of maternal deaths per 100,000 live births in a year — a key indicator of maternal health services.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0.5 mg of a medication. The available tablet strength is 0.25 mg. The nurse should administer:</w:t>
      </w:r>
    </w:p>
    <w:p>
      <w:r>
        <w:t>(a) Half a tablet</w:t>
      </w:r>
    </w:p>
    <w:p>
      <w:r>
        <w:t>(b) One tablet</w:t>
      </w:r>
    </w:p>
    <w:p>
      <w:r>
        <w:t>(c) Two tablets</w:t>
      </w:r>
    </w:p>
    <w:p>
      <w:r>
        <w:t>(d) Four tablets</w:t>
      </w:r>
    </w:p>
    <w:p>
      <w:r>
        <w:t>Answer: c</w:t>
      </w:r>
    </w:p>
    <w:p>
      <w:r>
        <w:t xml:space="preserve">Solution: 0.5 mg ÷ 0.25 mg = 2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IV of 1000 mL is to run over 10 hours with a drop factor of 15 gtt/mL. The flow rate is:</w:t>
      </w:r>
    </w:p>
    <w:p>
      <w:r>
        <w:t>(a) 20 gtt/min</w:t>
      </w:r>
    </w:p>
    <w:p>
      <w:r>
        <w:t>(b) 33 gtt/min</w:t>
      </w:r>
    </w:p>
    <w:p>
      <w:r>
        <w:t>(c) 15 gtt/min</w:t>
      </w:r>
    </w:p>
    <w:p>
      <w:r>
        <w:t>(d) 25 gtt/min</w:t>
      </w:r>
    </w:p>
    <w:p>
      <w:r>
        <w:t>Answer: d</w:t>
      </w:r>
    </w:p>
    <w:p>
      <w:r>
        <w:t xml:space="preserve">Solution: 1000 mL ÷ 600 min = 1.67 mL/min × 15 gtt/mL = 25 gtt/min.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1500 kcal diabetic diet with 20% protein. The daily protein allowance in grams is:</w:t>
      </w:r>
    </w:p>
    <w:p>
      <w:r>
        <w:t>(a) 50 g</w:t>
      </w:r>
    </w:p>
    <w:p>
      <w:r>
        <w:t>(b) 75 g</w:t>
      </w:r>
    </w:p>
    <w:p>
      <w:r>
        <w:t>(c) 100 g</w:t>
      </w:r>
    </w:p>
    <w:p>
      <w:r>
        <w:t>(d) 60 g</w:t>
      </w:r>
    </w:p>
    <w:p>
      <w:r>
        <w:t>Answer: b</w:t>
      </w:r>
    </w:p>
    <w:p>
      <w:r>
        <w:t xml:space="preserve">Solution: 20% of 1500 = 300 kcal from protein; 300 ÷ 4 kcal/g = 75 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researcher is studying the relationship between smoking and lung cancer. The study design that follows a group of smokers and non-smokers over time is:</w:t>
      </w:r>
    </w:p>
    <w:p>
      <w:r>
        <w:t>(a) A case report</w:t>
      </w:r>
    </w:p>
    <w:p>
      <w:r>
        <w:t>(b) A cross-sectional study</w:t>
      </w:r>
    </w:p>
    <w:p>
      <w:r>
        <w:t>(c) A case-control study</w:t>
      </w:r>
    </w:p>
    <w:p>
      <w:r>
        <w:t>(d) A cohort study</w:t>
      </w:r>
    </w:p>
    <w:p>
      <w:r>
        <w:t>Answer: d</w:t>
      </w:r>
    </w:p>
    <w:p>
      <w:r>
        <w:t xml:space="preserve">Solution: A cohort study follows groups (cohorts) over time to compare outcomes. Case-control studies look backward from disease to exposure; cross-sectional studies measure at one point in time.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charge nurse is prioritizing care for the shift. Which client should the nurse see first?</w:t>
      </w:r>
    </w:p>
    <w:p>
      <w:r>
        <w:t>(a) A client requesting a second blanket</w:t>
      </w:r>
    </w:p>
    <w:p>
      <w:r>
        <w:t>(b) A client who wants to make a phone call</w:t>
      </w:r>
    </w:p>
    <w:p>
      <w:r>
        <w:t>(c) A client ready for discharge instructions</w:t>
      </w:r>
    </w:p>
    <w:p>
      <w:r>
        <w:t>(d) A client who is 1 day post-thyroidectomy with stridor and respiratory distress</w:t>
      </w:r>
    </w:p>
    <w:p>
      <w:r>
        <w:t>Answer: d</w:t>
      </w:r>
    </w:p>
    <w:p>
      <w:r>
        <w:t xml:space="preserve">Solution: Stridor and respiratory distress after thyroidectomy indicate airway compromise — the highest priority. The comfort and routine needs of stable clients wait.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