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diabetic client becomes diaphoretic, tremulous, and confused. The priority action is to:</w:t>
      </w:r>
    </w:p>
    <w:p>
      <w:r>
        <w:t>(a) Restrict fluids</w:t>
      </w:r>
    </w:p>
    <w:p>
      <w:r>
        <w:t>(b) Give insulin</w:t>
      </w:r>
    </w:p>
    <w:p>
      <w:r>
        <w:t>(c) Give a fast-acting carbohydrate</w:t>
      </w:r>
    </w:p>
    <w:p>
      <w:r>
        <w:t>(d) Put the client to bed</w:t>
      </w:r>
    </w:p>
    <w:p>
      <w:r>
        <w:t>Answer: c</w:t>
      </w:r>
    </w:p>
    <w:p>
      <w:r>
        <w:t xml:space="preserve">Solution: These are signs of hypoglycemia — glucose (juice, candy, or IV dextrose if the client is unconscious) is given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maintains surgical asepsis by:</w:t>
      </w:r>
    </w:p>
    <w:p>
      <w:r>
        <w:t>(a) Keeping the sterile field above the waist and within sight</w:t>
      </w:r>
    </w:p>
    <w:p>
      <w:r>
        <w:t>(b) Touching sterile supplies with bare hands</w:t>
      </w:r>
    </w:p>
    <w:p>
      <w:r>
        <w:t>(c) Washing hands with plain soap only</w:t>
      </w:r>
    </w:p>
    <w:p>
      <w:r>
        <w:t>(d) Reaching over the sterile field freely</w:t>
      </w:r>
    </w:p>
    <w:p>
      <w:r>
        <w:t>Answer: a</w:t>
      </w:r>
    </w:p>
    <w:p>
      <w:r>
        <w:t xml:space="preserve">Solution: Sterile fields are kept above the waist, within sight, and away from moisture; only sterile items touch the field.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second stage of labor is defined as:</w:t>
      </w:r>
    </w:p>
    <w:p>
      <w:r>
        <w:t>(a) Onset of labor to full cervical dilatation</w:t>
      </w:r>
    </w:p>
    <w:p>
      <w:r>
        <w:t>(b) Full cervical dilatation to birth of the baby</w:t>
      </w:r>
    </w:p>
    <w:p>
      <w:r>
        <w:t>(c) Birth of the baby to delivery of the placenta</w:t>
      </w:r>
    </w:p>
    <w:p>
      <w:r>
        <w:t>(d) Delivery of the placenta to one hour after birth</w:t>
      </w:r>
    </w:p>
    <w:p>
      <w:r>
        <w:t>Answer: b</w:t>
      </w:r>
    </w:p>
    <w:p>
      <w:r>
        <w:t xml:space="preserve">Solution: Stage 1 runs from onset to full dilatation (10 cm); Stage 2 from full dilatation to birth; Stage 3 from birth to placenta delivery; Stage 4 is the first hour after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Tetanus neonatorum is most commonly acquired through:</w:t>
      </w:r>
    </w:p>
    <w:p>
      <w:r>
        <w:t>(a) Mosquito bite</w:t>
      </w:r>
    </w:p>
    <w:p>
      <w:r>
        <w:t>(b) Breast milk</w:t>
      </w:r>
    </w:p>
    <w:p>
      <w:r>
        <w:t>(c) Contaminated umbilical cord stump</w:t>
      </w:r>
    </w:p>
    <w:p>
      <w:r>
        <w:t>(d) Contaminated drinking water</w:t>
      </w:r>
    </w:p>
    <w:p>
      <w:r>
        <w:t>Answer: c</w:t>
      </w:r>
    </w:p>
    <w:p>
      <w:r>
        <w:t xml:space="preserve">Solution: Clostridium tetani enters through the unsterile-cut umbilical stump, especially when the mother is unimmunized.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early sign of Alzheimer's disease is:</w:t>
      </w:r>
    </w:p>
    <w:p>
      <w:r>
        <w:t>(a) Sudden loss of consciousness</w:t>
      </w:r>
    </w:p>
    <w:p>
      <w:r>
        <w:t>(b) Acute paralysis</w:t>
      </w:r>
    </w:p>
    <w:p>
      <w:r>
        <w:t>(c) Recent memory loss and difficulty learning new information</w:t>
      </w:r>
    </w:p>
    <w:p>
      <w:r>
        <w:t>(d) Sudden personality change overnight</w:t>
      </w:r>
    </w:p>
    <w:p>
      <w:r>
        <w:t>Answer: c</w:t>
      </w:r>
    </w:p>
    <w:p>
      <w:r>
        <w:t xml:space="preserve">Solution: Alzheimer's begins insidiously with recent memory loss and impaired learning; remote memories fade later. Sudden onset suggests another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national immunization schedule, measles vaccine is given at:</w:t>
      </w:r>
    </w:p>
    <w:p>
      <w:r>
        <w:t>(a) 6 weeks</w:t>
      </w:r>
    </w:p>
    <w:p>
      <w:r>
        <w:t>(b) Birth</w:t>
      </w:r>
    </w:p>
    <w:p>
      <w:r>
        <w:t>(c) 5 years</w:t>
      </w:r>
    </w:p>
    <w:p>
      <w:r>
        <w:t>(d) 9-12 months</w:t>
      </w:r>
    </w:p>
    <w:p>
      <w:r>
        <w:t>Answer: d</w:t>
      </w:r>
    </w:p>
    <w:p>
      <w:r>
        <w:t xml:space="preserve">Solution: Measles vaccine is given at 9-12 months. BCG and OPV zero dose are given at birth.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taking furosemide should be monitored for:</w:t>
      </w:r>
    </w:p>
    <w:p>
      <w:r>
        <w:t>(a) Hypoglycemia</w:t>
      </w:r>
    </w:p>
    <w:p>
      <w:r>
        <w:t>(b) Hypokalemia and dehydration</w:t>
      </w:r>
    </w:p>
    <w:p>
      <w:r>
        <w:t>(c) Hypercalcemia</w:t>
      </w:r>
    </w:p>
    <w:p>
      <w:r>
        <w:t>(d) Hyperkalemia</w:t>
      </w:r>
    </w:p>
    <w:p>
      <w:r>
        <w:t>Answer: b</w:t>
      </w:r>
    </w:p>
    <w:p>
      <w:r>
        <w:t xml:space="preserve">Solution: Loop diuretics waste potassium and water, causing hypokalemia, hypotension, and dehydration — potassium levels and electrolytes are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exchange of oxygen and carbon dioxide between the alveoli and blood is called:</w:t>
      </w:r>
    </w:p>
    <w:p>
      <w:r>
        <w:t>(a) Internal respiration</w:t>
      </w:r>
    </w:p>
    <w:p>
      <w:r>
        <w:t>(b) External respiration</w:t>
      </w:r>
    </w:p>
    <w:p>
      <w:r>
        <w:t>(c) Ventilation</w:t>
      </w:r>
    </w:p>
    <w:p>
      <w:r>
        <w:t>(d) Pleural diffusion</w:t>
      </w:r>
    </w:p>
    <w:p>
      <w:r>
        <w:t>Answer: b</w:t>
      </w:r>
    </w:p>
    <w:p>
      <w:r>
        <w:t xml:space="preserve">Solution: External (pulmonary) respiration is gas exchange at the alveoli; internal (tissue) respiration occurs at the capillaries. Ventilation is air movement only.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Prolonged administration of oxygen above 50% can cause:</w:t>
      </w:r>
    </w:p>
    <w:p>
      <w:r>
        <w:t>(a) Oxygen toxicity with lung damage</w:t>
      </w:r>
    </w:p>
    <w:p>
      <w:r>
        <w:t>(b) Bradycardia</w:t>
      </w:r>
    </w:p>
    <w:p>
      <w:r>
        <w:t>(c) Hypotension</w:t>
      </w:r>
    </w:p>
    <w:p>
      <w:r>
        <w:t>(d) Hypothermia</w:t>
      </w:r>
    </w:p>
    <w:p>
      <w:r>
        <w:t>Answer: a</w:t>
      </w:r>
    </w:p>
    <w:p>
      <w:r>
        <w:t xml:space="preserve">Solution: High FiO2 for long periods damages alveolar membranes. Oxygen is titrated to the lowest effective level.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Goiter is most commonly caused by deficiency of:</w:t>
      </w:r>
    </w:p>
    <w:p>
      <w:r>
        <w:t>(a) Calcium</w:t>
      </w:r>
    </w:p>
    <w:p>
      <w:r>
        <w:t>(b) Vitamin B12</w:t>
      </w:r>
    </w:p>
    <w:p>
      <w:r>
        <w:t>(c) Iron</w:t>
      </w:r>
    </w:p>
    <w:p>
      <w:r>
        <w:t>(d) Iodine</w:t>
      </w:r>
    </w:p>
    <w:p>
      <w:r>
        <w:t>Answer: d</w:t>
      </w:r>
    </w:p>
    <w:p>
      <w:r>
        <w:t xml:space="preserve">Solution: Iodine is needed to make thyroid hormone; its deficiency causes endemic goiter. Salt iodization prevents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first drug usually given in adult cardiac arrest is:</w:t>
      </w:r>
    </w:p>
    <w:p>
      <w:r>
        <w:t>(a) Adrenaline (epinephrine)</w:t>
      </w:r>
    </w:p>
    <w:p>
      <w:r>
        <w:t>(b) Atropine</w:t>
      </w:r>
    </w:p>
    <w:p>
      <w:r>
        <w:t>(c) Digoxin</w:t>
      </w:r>
    </w:p>
    <w:p>
      <w:r>
        <w:t>(d) Verapamil</w:t>
      </w:r>
    </w:p>
    <w:p>
      <w:r>
        <w:t>Answer: a</w:t>
      </w:r>
    </w:p>
    <w:p>
      <w:r>
        <w:t xml:space="preserve">Solution: Epinephrine 1 mg IV every 3-5 minutes is the first-line drug in adult cardiac arrest (VF, asystole, and PEA).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giving a bed bath, the nurse should:</w:t>
      </w:r>
    </w:p>
    <w:p>
      <w:r>
        <w:t>(a) Bathe from the cleanest to the dirtiest areas and keep the client covered</w:t>
      </w:r>
    </w:p>
    <w:p>
      <w:r>
        <w:t>(b) Use very hot water</w:t>
      </w:r>
    </w:p>
    <w:p>
      <w:r>
        <w:t>(c) Expose the whole body at once</w:t>
      </w:r>
    </w:p>
    <w:p>
      <w:r>
        <w:t>(d) Start with the feet</w:t>
      </w:r>
    </w:p>
    <w:p>
      <w:r>
        <w:t>Answer: a</w:t>
      </w:r>
    </w:p>
    <w:p>
      <w:r>
        <w:t xml:space="preserve">Solution: Bathing proceeds from clean to dirty areas (eyes first, perineum last), the client is kept draped, and warm rather than hot water is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cause of postpartum hemorrhage is:</w:t>
      </w:r>
    </w:p>
    <w:p>
      <w:r>
        <w:t>(a) Coagulation defects</w:t>
      </w:r>
    </w:p>
    <w:p>
      <w:r>
        <w:t>(b) Uterine inversion</w:t>
      </w:r>
    </w:p>
    <w:p>
      <w:r>
        <w:t>(c) Uterine atony</w:t>
      </w:r>
    </w:p>
    <w:p>
      <w:r>
        <w:t>(d) Retained placenta</w:t>
      </w:r>
    </w:p>
    <w:p>
      <w:r>
        <w:t>Answer: c</w:t>
      </w:r>
    </w:p>
    <w:p>
      <w:r>
        <w:t xml:space="preserve">Solution: Uterine atony (failure of the uterus to contract) causes most postpartum hemorrhage — managed by fundal massage, oxytocin, and methylergometrine.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preferred site for intramuscular injection in an infant under one year is:</w:t>
      </w:r>
    </w:p>
    <w:p>
      <w:r>
        <w:t>(a) Deltoid</w:t>
      </w:r>
    </w:p>
    <w:p>
      <w:r>
        <w:t>(b) Dorsogluteal</w:t>
      </w:r>
    </w:p>
    <w:p>
      <w:r>
        <w:t>(c) Gluteus maximus</w:t>
      </w:r>
    </w:p>
    <w:p>
      <w:r>
        <w:t>(d) Vastus lateralis</w:t>
      </w:r>
    </w:p>
    <w:p>
      <w:r>
        <w:t>Answer: d</w:t>
      </w:r>
    </w:p>
    <w:p>
      <w:r>
        <w:t xml:space="preserve">Solution: The vastus lateralis (anterolateral thigh) is the safest IM site in infants because the deltoid and gluteal muscles are small and underdeveloped.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extrapyramidal side effect is characterized by restlessness and an urge to keep moving?</w:t>
      </w:r>
    </w:p>
    <w:p>
      <w:r>
        <w:t>(a) Tardive dyskinesia</w:t>
      </w:r>
    </w:p>
    <w:p>
      <w:r>
        <w:t>(b) Akathisia</w:t>
      </w:r>
    </w:p>
    <w:p>
      <w:r>
        <w:t>(c) Dystonia</w:t>
      </w:r>
    </w:p>
    <w:p>
      <w:r>
        <w:t>(d) Neuroleptic malignant syndrome</w:t>
      </w:r>
    </w:p>
    <w:p>
      <w:r>
        <w:t>Answer: b</w:t>
      </w:r>
    </w:p>
    <w:p>
      <w:r>
        <w:t xml:space="preserve">Solution: Akathisia is motor restlessness; dystonia is muscle spasm; tardive dyskinesia involves involuntary movements of the face and tongue.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duration of treatment for a new case of drug-sensitive tuberculosis under the current program is:</w:t>
      </w:r>
    </w:p>
    <w:p>
      <w:r>
        <w:t>(a) 2 years</w:t>
      </w:r>
    </w:p>
    <w:p>
      <w:r>
        <w:t>(b) 1 month</w:t>
      </w:r>
    </w:p>
    <w:p>
      <w:r>
        <w:t>(c) 6 months</w:t>
      </w:r>
    </w:p>
    <w:p>
      <w:r>
        <w:t>(d) 2 weeks</w:t>
      </w:r>
    </w:p>
    <w:p>
      <w:r>
        <w:t>Answer: c</w:t>
      </w:r>
    </w:p>
    <w:p>
      <w:r>
        <w:t xml:space="preserve">Solution: New TB cases are treated for 6 months (2 months intensive plus 4 months continuation) under DOTS/NTEP.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Long-term use of NSAIDs such as ibuprofen is most likely to cause:</w:t>
      </w:r>
    </w:p>
    <w:p>
      <w:r>
        <w:t>(a) Gastric ulceration and bleeding</w:t>
      </w:r>
    </w:p>
    <w:p>
      <w:r>
        <w:t>(b) Hypothyroidism</w:t>
      </w:r>
    </w:p>
    <w:p>
      <w:r>
        <w:t>(c) Hyperglycemia</w:t>
      </w:r>
    </w:p>
    <w:p>
      <w:r>
        <w:t>(d) Bradycardia</w:t>
      </w:r>
    </w:p>
    <w:p>
      <w:r>
        <w:t>Answer: a</w:t>
      </w:r>
    </w:p>
    <w:p>
      <w:r>
        <w:t xml:space="preserve">Solution: NSAIDs inhibit prostaglandins that protect the gastric mucosa, causing ulcers, bleeding, and kidney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valve between the left atrium and the left ventricle is the:</w:t>
      </w:r>
    </w:p>
    <w:p>
      <w:r>
        <w:t>(a) Pulmonary valve</w:t>
      </w:r>
    </w:p>
    <w:p>
      <w:r>
        <w:t>(b) Mitral valve</w:t>
      </w:r>
    </w:p>
    <w:p>
      <w:r>
        <w:t>(c) Aortic valve</w:t>
      </w:r>
    </w:p>
    <w:p>
      <w:r>
        <w:t>(d) Tricuspid valve</w:t>
      </w:r>
    </w:p>
    <w:p>
      <w:r>
        <w:t>Answer: b</w:t>
      </w:r>
    </w:p>
    <w:p>
      <w:r>
        <w:t xml:space="preserve">Solution: The bicuspid (mitral) valve lies between the left atrium and ventricle; the tricuspid valve is on the right side of the heart.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To prevent aspiration in a client receiving a nasogastric tube feed, the nurse should:</w:t>
      </w:r>
    </w:p>
    <w:p>
      <w:r>
        <w:t>(a) Feed with the head of the bed flat</w:t>
      </w:r>
    </w:p>
    <w:p>
      <w:r>
        <w:t>(b) Feed while the client lies prone</w:t>
      </w:r>
    </w:p>
    <w:p>
      <w:r>
        <w:t>(c) Give large volumes rapidly</w:t>
      </w:r>
    </w:p>
    <w:p>
      <w:r>
        <w:t>(d) Elevate the head of the bed 30-45 degrees during and after feeding</w:t>
      </w:r>
    </w:p>
    <w:p>
      <w:r>
        <w:t>Answer: d</w:t>
      </w:r>
    </w:p>
    <w:p>
      <w:r>
        <w:t xml:space="preserve">Solution: Elevating the head 30-45 degrees during and for 30-60 minutes after feeding prevents regurgitation and aspiration.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To improve iron absorption, iron supplements should be taken with:</w:t>
      </w:r>
    </w:p>
    <w:p>
      <w:r>
        <w:t>(a) Milk</w:t>
      </w:r>
    </w:p>
    <w:p>
      <w:r>
        <w:t>(b) Antacids</w:t>
      </w:r>
    </w:p>
    <w:p>
      <w:r>
        <w:t>(c) Tea</w:t>
      </w:r>
    </w:p>
    <w:p>
      <w:r>
        <w:t>(d) Vitamin C (orange juice)</w:t>
      </w:r>
    </w:p>
    <w:p>
      <w:r>
        <w:t>Answer: d</w:t>
      </w:r>
    </w:p>
    <w:p>
      <w:r>
        <w:t xml:space="preserve">Solution: Vitamin C enhances iron absorption; tea, milk, and antacids inhibit it. Iron is best taken between meals.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