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For severe hypothermia with cardiac arrest, the priority is</w:t>
      </w:r>
    </w:p>
    <w:p>
      <w:pPr>
        <w:spacing w:after="200" w:line="276" w:lineRule="auto"/>
      </w:pPr>
      <w:r>
        <w:t>(a) Stop all care</w:t>
      </w:r>
    </w:p>
    <w:p>
      <w:pPr>
        <w:spacing w:after="200" w:line="276" w:lineRule="auto"/>
      </w:pPr>
      <w:r>
        <w:t>(b) Continue CPR, rewarm aggressively and prepare for defibrillation as indicated</w:t>
      </w:r>
    </w:p>
    <w:p>
      <w:pPr>
        <w:spacing w:after="200" w:line="276" w:lineRule="auto"/>
      </w:pPr>
      <w:r>
        <w:t>(c) Give hot coffee</w:t>
      </w:r>
    </w:p>
    <w:p>
      <w:pPr>
        <w:spacing w:after="200" w:line="276" w:lineRule="auto"/>
      </w:pPr>
      <w:r>
        <w:t>(d) Wait for spontaneous rewarming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Continue CPR, rewarm aggressively and prepare for defibrillation as indicated</w:t>
      </w:r>
    </w:p>
    <w:p>
      <w:pPr>
        <w:spacing w:after="200" w:line="276" w:lineRule="auto"/>
      </w:pPr>
      <w:r>
        <w:t>🧠 Clinical Rationale: Patients can survive prolonged arrest in hypothermia — keep resuscitating while actively rewarming.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all care — does not match the characteristic feature/management described in the stem</w:t>
      </w:r>
    </w:p>
    <w:p>
      <w:pPr>
        <w:spacing w:after="200" w:line="276" w:lineRule="auto"/>
      </w:pPr>
      <w:r>
        <w:t>C. Give hot coffee — does not match the characteristic feature/management described in the stem</w:t>
      </w:r>
    </w:p>
    <w:p>
      <w:pPr>
        <w:spacing w:after="200" w:line="276" w:lineRule="auto"/>
      </w:pPr>
      <w:r>
        <w:t>D. Wait for spontaneous rewarming — does not match the characteristic feature/management described in the stem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rescue from drowning, the priority is</w:t>
      </w:r>
    </w:p>
    <w:p>
      <w:pPr>
        <w:spacing w:after="200" w:line="276" w:lineRule="auto"/>
      </w:pPr>
      <w:r>
        <w:t>(a) Abdominal thrusts</w:t>
      </w:r>
    </w:p>
    <w:p>
      <w:pPr>
        <w:spacing w:after="200" w:line="276" w:lineRule="auto"/>
      </w:pPr>
      <w:r>
        <w:t>(b) Airway clearance and ventilation/oxygenation with c-spine precautions if injury suspected</w:t>
      </w:r>
    </w:p>
    <w:p>
      <w:pPr>
        <w:spacing w:after="200" w:line="276" w:lineRule="auto"/>
      </w:pPr>
      <w:r>
        <w:t>(c) Rapid rewarming only</w:t>
      </w:r>
    </w:p>
    <w:p>
      <w:pPr>
        <w:spacing w:after="200" w:line="276" w:lineRule="auto"/>
      </w:pPr>
      <w:r>
        <w:t>(d) Immediate discharge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Airway clearance and ventilation/oxygenation with c-spine precautions if injury suspected</w:t>
      </w:r>
    </w:p>
    <w:p>
      <w:pPr>
        <w:spacing w:after="200" w:line="276" w:lineRule="auto"/>
      </w:pPr>
      <w:r>
        <w:t>🧠 Clinical Rationale: Start ventilation promptly; treat hypothermia and aspiration; observe for secondary drowning.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Abdominal thrusts — does not match the characteristic feature/management described in the stem</w:t>
      </w:r>
    </w:p>
    <w:p>
      <w:pPr>
        <w:spacing w:after="200" w:line="276" w:lineRule="auto"/>
      </w:pPr>
      <w:r>
        <w:t>C. Rapid rewarming only — does not match the characteristic feature/management described in the stem</w:t>
      </w:r>
    </w:p>
    <w:p>
      <w:pPr>
        <w:spacing w:after="200" w:line="276" w:lineRule="auto"/>
      </w:pPr>
      <w:r>
        <w:t>D. Immediate discharge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drug for anaphylaxis is</w:t>
      </w:r>
    </w:p>
    <w:p>
      <w:pPr>
        <w:spacing w:after="200" w:line="276" w:lineRule="auto"/>
      </w:pPr>
      <w:r>
        <w:t>(a) IV antihistamine alone</w:t>
      </w:r>
    </w:p>
    <w:p>
      <w:pPr>
        <w:spacing w:after="200" w:line="276" w:lineRule="auto"/>
      </w:pPr>
      <w:r>
        <w:t>(b) Oral steroids alone</w:t>
      </w:r>
    </w:p>
    <w:p>
      <w:pPr>
        <w:spacing w:after="200" w:line="276" w:lineRule="auto"/>
      </w:pPr>
      <w:r>
        <w:t>(c) Salbutamol nebulisation alone</w:t>
      </w:r>
    </w:p>
    <w:p>
      <w:pPr>
        <w:spacing w:after="200" w:line="276" w:lineRule="auto"/>
      </w:pPr>
      <w:r>
        <w:t>(d) Intramuscular adrenaline (0.3-0.5 mg) anterolateral thigh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Intramuscular adrenaline (0.3-0.5 mg) anterolateral thigh</w:t>
      </w:r>
    </w:p>
    <w:p>
      <w:pPr>
        <w:spacing w:after="200" w:line="276" w:lineRule="auto"/>
      </w:pPr>
      <w:r>
        <w:t>🧠 Clinical Rationale: IM adrenaline 1:1000 0.3-0.5 mg is first-line; antihistamines and steroids are adjuncts.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antihistamine alone — does not match the characteristic feature/management described in the stem</w:t>
      </w:r>
    </w:p>
    <w:p>
      <w:pPr>
        <w:spacing w:after="200" w:line="276" w:lineRule="auto"/>
      </w:pPr>
      <w:r>
        <w:t>B. Oral steroids alone — does not match the characteristic feature/management described in the stem</w:t>
      </w:r>
    </w:p>
    <w:p>
      <w:pPr>
        <w:spacing w:after="200" w:line="276" w:lineRule="auto"/>
      </w:pPr>
      <w:r>
        <w:t>C. Salbutamol nebulisation alone — does not match the characteristic feature/management described in the stem</w:t>
      </w:r>
    </w:p>
    <w:p>
      <w:pPr>
        <w:spacing w:after="200" w:line="276" w:lineRule="auto"/>
      </w:pPr>
      <w:r>
        <w:t>⚠️ Exam Trap: Epinephrine is first in anaphylaxis — antihistamines and steroids are adjuncts, not first-line.</w:t>
      </w:r>
    </w:p>
    <w:p>
      <w:pPr>
        <w:spacing w:after="200" w:line="276" w:lineRule="auto"/>
      </w:pPr>
      <w:r>
        <w:t>💎 PNC Pearl: Anaphylaxis → IM epinephrine (adrenaline) in the anterolateral thigh is the FIRST-line, life-saving drug.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Anaphylaxis</w:t>
      </w:r>
    </w:p>
    <w:p>
      <w:pPr>
        <w:spacing w:after="200" w:line="276" w:lineRule="auto"/>
      </w:pPr>
      <w:r>
        <w:t>→ First: IM epinephrine 1:1000 (0.3–0.5 mg adult, anterolateral thigh)</w:t>
      </w:r>
    </w:p>
    <w:p>
      <w:pPr>
        <w:spacing w:after="200" w:line="276" w:lineRule="auto"/>
      </w:pPr>
      <w:r>
        <w:t>→ Then: airway/oxygen, IV fluids, antihistamines, steroids</w:t>
      </w:r>
    </w:p>
    <w:p>
      <w:pPr>
        <w:spacing w:after="200" w:line="276" w:lineRule="auto"/>
      </w:pPr>
      <w:r>
        <w:t>→ Prevent: identify allergen, allergy band, EpiPen education</w:t>
      </w:r>
    </w:p>
    <w:p>
      <w:pPr>
        <w:spacing w:after="200" w:line="276" w:lineRule="auto"/>
      </w:pPr>
      <w:r>
        <w:t>→ Late-phase reaction possible — observe for 4–6 h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triad of opioid overdose is</w:t>
      </w:r>
    </w:p>
    <w:p>
      <w:pPr>
        <w:spacing w:after="200" w:line="276" w:lineRule="auto"/>
      </w:pPr>
      <w:r>
        <w:t>(a) Coma, respiratory depression, pinpoint pupils</w:t>
      </w:r>
    </w:p>
    <w:p>
      <w:pPr>
        <w:spacing w:after="200" w:line="276" w:lineRule="auto"/>
      </w:pPr>
      <w:r>
        <w:t>(b) Fever, rash, headache</w:t>
      </w:r>
    </w:p>
    <w:p>
      <w:pPr>
        <w:spacing w:after="200" w:line="276" w:lineRule="auto"/>
      </w:pPr>
      <w:r>
        <w:t>(c) Tachycardia, hypertension, sweating</w:t>
      </w:r>
    </w:p>
    <w:p>
      <w:pPr>
        <w:spacing w:after="200" w:line="276" w:lineRule="auto"/>
      </w:pPr>
      <w:r>
        <w:t>(d) Agitation, tremor, diarrhoea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Coma, respiratory depression, pinpoint pupils</w:t>
      </w:r>
    </w:p>
    <w:p>
      <w:pPr>
        <w:spacing w:after="200" w:line="276" w:lineRule="auto"/>
      </w:pPr>
      <w:r>
        <w:t>🧠 Clinical Rationale: Opioid toxidrome: CNS depression, bradypnoea/apnoea, miosis — give naloxone and airway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Fever, rash, headache — does not match the characteristic feature/management described in the stem</w:t>
      </w:r>
    </w:p>
    <w:p>
      <w:pPr>
        <w:spacing w:after="200" w:line="276" w:lineRule="auto"/>
      </w:pPr>
      <w:r>
        <w:t>C. Tachycardia, hypertension, sweating — does not match the characteristic feature/management described in the stem</w:t>
      </w:r>
    </w:p>
    <w:p>
      <w:pPr>
        <w:spacing w:after="200" w:line="276" w:lineRule="auto"/>
      </w:pPr>
      <w:r>
        <w:t>D. Agitation, tremor, diarrhoea — does not match the characteristic feature/management described in the stem</w:t>
      </w:r>
    </w:p>
    <w:p>
      <w:pPr>
        <w:spacing w:after="200" w:line="276" w:lineRule="auto"/>
      </w:pPr>
      <w:r>
        <w:t>⚠️ Exam Trap: Opioid overdose: respiratory depression + pinpoint pupils → naloxone; the antidote pairing is a classic question.</w:t>
      </w:r>
    </w:p>
    <w:p>
      <w:pPr>
        <w:spacing w:after="200" w:line="276" w:lineRule="auto"/>
      </w:pPr>
      <w:r>
        <w:t>💎 PNC Pearl: Naloxone (Narcan) reverses opioid overdose — respiratory depression with pinpoint pupils is the clue.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Opioid overdose</w:t>
      </w:r>
    </w:p>
    <w:p>
      <w:pPr>
        <w:spacing w:after="200" w:line="276" w:lineRule="auto"/>
      </w:pPr>
      <w:r>
        <w:t>→ Clues: respiratory depression, pinpoint pupils, coma, hypothermia</w:t>
      </w:r>
    </w:p>
    <w:p>
      <w:pPr>
        <w:spacing w:after="200" w:line="276" w:lineRule="auto"/>
      </w:pPr>
      <w:r>
        <w:t>→ Treatment: naloxone IV/IM (repeat as needed), airway support</w:t>
      </w:r>
    </w:p>
    <w:p>
      <w:pPr>
        <w:spacing w:after="200" w:line="276" w:lineRule="auto"/>
      </w:pPr>
      <w:r>
        <w:t>→ Watch: naloxone wears off faster than the opioid — observe for re-sedation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Organophosphate poisoning presents with</w:t>
      </w:r>
    </w:p>
    <w:p>
      <w:pPr>
        <w:spacing w:after="200" w:line="276" w:lineRule="auto"/>
      </w:pPr>
      <w:r>
        <w:t>(a) Mydriasis and dry skin</w:t>
      </w:r>
    </w:p>
    <w:p>
      <w:pPr>
        <w:spacing w:after="200" w:line="276" w:lineRule="auto"/>
      </w:pPr>
      <w:r>
        <w:t>(b) SLUDGE (salivation, lacrimation, urination, defecation) and miosis</w:t>
      </w:r>
    </w:p>
    <w:p>
      <w:pPr>
        <w:spacing w:after="200" w:line="276" w:lineRule="auto"/>
      </w:pPr>
      <w:r>
        <w:t>(c) Hyperthermia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SLUDGE (salivation, lacrimation, urination, defecation) and miosis</w:t>
      </w:r>
    </w:p>
    <w:p>
      <w:pPr>
        <w:spacing w:after="200" w:line="276" w:lineRule="auto"/>
      </w:pPr>
      <w:r>
        <w:t>🧠 Clinical Rationale: Organophosphates block acetylcholinesterase → cholinergic excess; treat with atropine and pralidoxime.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Mydriasis and dry skin — does not match the characteristic feature/management described in the stem</w:t>
      </w:r>
    </w:p>
    <w:p>
      <w:pPr>
        <w:spacing w:after="200" w:line="276" w:lineRule="auto"/>
      </w:pPr>
      <w:r>
        <w:t>C. Hyperthermia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OP poisoning antidotes: atropine (muscarinic symptoms) + pralidoxime (reactivates cholinesterase) — a favourite pairing question.</w:t>
      </w:r>
    </w:p>
    <w:p>
      <w:pPr>
        <w:spacing w:after="200" w:line="276" w:lineRule="auto"/>
      </w:pPr>
      <w:r>
        <w:t>💎 PNC Pearl: Organophosphate poisoning: SLUDGE (salivation, lacrimation, urination, defecation, GI cramping, emesis) — antidotes atropine + pralidoxime.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Organophosphate poisoning</w:t>
      </w:r>
    </w:p>
    <w:p>
      <w:pPr>
        <w:spacing w:after="200" w:line="276" w:lineRule="auto"/>
      </w:pPr>
      <w:r>
        <w:t>→ Mechanism: inhibits acetylcholinesterase → cholinergic excess</w:t>
      </w:r>
    </w:p>
    <w:p>
      <w:pPr>
        <w:spacing w:after="200" w:line="276" w:lineRule="auto"/>
      </w:pPr>
      <w:r>
        <w:t>→ Signs: SLUDGE + miosis, bradycardia, muscle fasciculations, respiratory depression</w:t>
      </w:r>
    </w:p>
    <w:p>
      <w:pPr>
        <w:spacing w:after="200" w:line="276" w:lineRule="auto"/>
      </w:pPr>
      <w:r>
        <w:t>→ Antidotes: atropine (until secretions dry) + pralidoxime</w:t>
      </w:r>
    </w:p>
    <w:p>
      <w:pPr>
        <w:spacing w:after="200" w:line="276" w:lineRule="auto"/>
      </w:pPr>
      <w:r>
        <w:t>→ Decontaminate skin/clothing; protect staff from exposure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methanol poisoning is</w:t>
      </w:r>
    </w:p>
    <w:p>
      <w:pPr>
        <w:spacing w:after="200" w:line="276" w:lineRule="auto"/>
      </w:pPr>
      <w:r>
        <w:t>(a) Fomepizole (or ethanol) plus folate</w:t>
      </w:r>
    </w:p>
    <w:p>
      <w:pPr>
        <w:spacing w:after="200" w:line="276" w:lineRule="auto"/>
      </w:pPr>
      <w:r>
        <w:t>(b) Naloxone</w:t>
      </w:r>
    </w:p>
    <w:p>
      <w:pPr>
        <w:spacing w:after="200" w:line="276" w:lineRule="auto"/>
      </w:pPr>
      <w:r>
        <w:t>(c) Atropine</w:t>
      </w:r>
    </w:p>
    <w:p>
      <w:pPr>
        <w:spacing w:after="200" w:line="276" w:lineRule="auto"/>
      </w:pPr>
      <w:r>
        <w:t>(d) Flumazenil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Fomepizole (or ethanol) plus folate</w:t>
      </w:r>
    </w:p>
    <w:p>
      <w:pPr>
        <w:spacing w:after="200" w:line="276" w:lineRule="auto"/>
      </w:pPr>
      <w:r>
        <w:t>🧠 Clinical Rationale: Fomepizole/ethanol block alcohol dehydrogenase, preventing toxic metabolite formation; treat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Naloxone — does not match the characteristic feature/management described in the stem</w:t>
      </w:r>
    </w:p>
    <w:p>
      <w:pPr>
        <w:spacing w:after="200" w:line="276" w:lineRule="auto"/>
      </w:pPr>
      <w:r>
        <w:t>C. Atropine — does not match the characteristic feature/management described in the stem</w:t>
      </w:r>
    </w:p>
    <w:p>
      <w:pPr>
        <w:spacing w:after="200" w:line="276" w:lineRule="auto"/>
      </w:pPr>
      <w:r>
        <w:t>D. Flumazenil — does not match the characteristic feature/management described in the stem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Rebound tenderness in an acute abdomen indicates</w:t>
      </w:r>
    </w:p>
    <w:p>
      <w:pPr>
        <w:spacing w:after="200" w:line="276" w:lineRule="auto"/>
      </w:pPr>
      <w:r>
        <w:t>(a) Peritoneal irritation (e.g., appendicitis, peritonitis)</w:t>
      </w:r>
    </w:p>
    <w:p>
      <w:pPr>
        <w:spacing w:after="200" w:line="276" w:lineRule="auto"/>
      </w:pPr>
      <w:r>
        <w:t>(b) Simple gas</w:t>
      </w:r>
    </w:p>
    <w:p>
      <w:pPr>
        <w:spacing w:after="200" w:line="276" w:lineRule="auto"/>
      </w:pPr>
      <w:r>
        <w:t>(c) Muscle strain</w:t>
      </w:r>
    </w:p>
    <w:p>
      <w:pPr>
        <w:spacing w:after="200" w:line="276" w:lineRule="auto"/>
      </w:pPr>
      <w:r>
        <w:t>(d) Renal colic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Peritoneal irritation (e.g., appendicitis, peritonitis)</w:t>
      </w:r>
    </w:p>
    <w:p>
      <w:pPr>
        <w:spacing w:after="200" w:line="276" w:lineRule="auto"/>
      </w:pPr>
      <w:r>
        <w:t>🧠 Clinical Rationale: Rebound/guarding suggests peritoneal inflammation — urgent surgical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Simple gas — does not match the characteristic feature/management described in the stem</w:t>
      </w:r>
    </w:p>
    <w:p>
      <w:pPr>
        <w:spacing w:after="200" w:line="276" w:lineRule="auto"/>
      </w:pPr>
      <w:r>
        <w:t>C. Muscle strain — does not match the characteristic feature/management described in the stem</w:t>
      </w:r>
    </w:p>
    <w:p>
      <w:pPr>
        <w:spacing w:after="200" w:line="276" w:lineRule="auto"/>
      </w:pPr>
      <w:r>
        <w:t>D. Renal colic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Classically, appendicitis pain</w:t>
      </w:r>
    </w:p>
    <w:p>
      <w:pPr>
        <w:spacing w:after="200" w:line="276" w:lineRule="auto"/>
      </w:pPr>
      <w:r>
        <w:t>(a) Starts in the right shoulder</w:t>
      </w:r>
    </w:p>
    <w:p>
      <w:pPr>
        <w:spacing w:after="200" w:line="276" w:lineRule="auto"/>
      </w:pPr>
      <w:r>
        <w:t>(b) Is always in the back</w:t>
      </w:r>
    </w:p>
    <w:p>
      <w:pPr>
        <w:spacing w:after="200" w:line="276" w:lineRule="auto"/>
      </w:pPr>
      <w:r>
        <w:t>(c) Begins periumbilically then localises to the right lower quadrant</w:t>
      </w:r>
    </w:p>
    <w:p>
      <w:pPr>
        <w:spacing w:after="200" w:line="276" w:lineRule="auto"/>
      </w:pPr>
      <w:r>
        <w:t>(d) Never moves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Begins periumbilically then localises to the right lower quadrant</w:t>
      </w:r>
    </w:p>
    <w:p>
      <w:pPr>
        <w:spacing w:after="200" w:line="276" w:lineRule="auto"/>
      </w:pPr>
      <w:r>
        <w:t>🧠 Clinical Rationale: Visceral pain migrates to the RLQ (McBurney) as inflammation reaches the parietal peritoneum.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Starts in the right shoulder — does not match the characteristic feature/management described in the stem</w:t>
      </w:r>
    </w:p>
    <w:p>
      <w:pPr>
        <w:spacing w:after="200" w:line="276" w:lineRule="auto"/>
      </w:pPr>
      <w:r>
        <w:t>B. Is always in the back — does not match the characteristic feature/management described in the stem</w:t>
      </w:r>
    </w:p>
    <w:p>
      <w:pPr>
        <w:spacing w:after="200" w:line="276" w:lineRule="auto"/>
      </w:pPr>
      <w:r>
        <w:t>D. Never moves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bluish discolouration of the flanks in severe acute pancreatitis is called</w:t>
      </w:r>
    </w:p>
    <w:p>
      <w:pPr>
        <w:spacing w:after="200" w:line="276" w:lineRule="auto"/>
      </w:pPr>
      <w:r>
        <w:t>(a) Cullen sign</w:t>
      </w:r>
    </w:p>
    <w:p>
      <w:pPr>
        <w:spacing w:after="200" w:line="276" w:lineRule="auto"/>
      </w:pPr>
      <w:r>
        <w:t>(b) McBurney sign</w:t>
      </w:r>
    </w:p>
    <w:p>
      <w:pPr>
        <w:spacing w:after="200" w:line="276" w:lineRule="auto"/>
      </w:pPr>
      <w:r>
        <w:t>(c) Grey Turner sign</w:t>
      </w:r>
    </w:p>
    <w:p>
      <w:pPr>
        <w:spacing w:after="200" w:line="276" w:lineRule="auto"/>
      </w:pPr>
      <w:r>
        <w:t>(d) Murphy sign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Grey Turner sign</w:t>
      </w:r>
    </w:p>
    <w:p>
      <w:pPr>
        <w:spacing w:after="200" w:line="276" w:lineRule="auto"/>
      </w:pPr>
      <w:r>
        <w:t>🧠 Clinical Rationale: Grey Turner (flanks) and Cullen (periumbilical) indicate retroperitoneal haemorrhage in severe pancreatitis.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Cullen sign — does not match the characteristic feature/management described in the stem</w:t>
      </w:r>
    </w:p>
    <w:p>
      <w:pPr>
        <w:spacing w:after="200" w:line="276" w:lineRule="auto"/>
      </w:pPr>
      <w:r>
        <w:t>B. McBurney sign — does not match the characteristic feature/management described in the stem</w:t>
      </w:r>
    </w:p>
    <w:p>
      <w:pPr>
        <w:spacing w:after="200" w:line="276" w:lineRule="auto"/>
      </w:pPr>
      <w:r>
        <w:t>D. Murphy sign — does not match the characteristic feature/management described in the stem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sudden severe epigastric pain, board-like rigidity and free air under diaphragm on X-ray has</w:t>
      </w:r>
    </w:p>
    <w:p>
      <w:pPr>
        <w:spacing w:after="200" w:line="276" w:lineRule="auto"/>
      </w:pPr>
      <w:r>
        <w:t>(a) Simple gastritis</w:t>
      </w:r>
    </w:p>
    <w:p>
      <w:pPr>
        <w:spacing w:after="200" w:line="276" w:lineRule="auto"/>
      </w:pPr>
      <w:r>
        <w:t>(b) Perforated peptic ulcer — urgent surgery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Renal colic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Perforated peptic ulcer — urgent surgery</w:t>
      </w:r>
    </w:p>
    <w:p>
      <w:pPr>
        <w:spacing w:after="200" w:line="276" w:lineRule="auto"/>
      </w:pPr>
      <w:r>
        <w:t>🧠 Clinical Rationale: Perforation causes chemical peritonitis; upright chest X-ray shows free air under the diaphragm.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Rigidity — muscle / upper motor neuron sign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gastritis — does not match the characteristic feature/management described in the stem</w:t>
      </w:r>
    </w:p>
    <w:p>
      <w:pPr>
        <w:spacing w:after="200" w:line="276" w:lineRule="auto"/>
      </w:pPr>
      <w:r>
        <w:t>C. Constipation — does not match the characteristic feature/management described in the stem</w:t>
      </w:r>
    </w:p>
    <w:p>
      <w:pPr>
        <w:spacing w:after="200" w:line="276" w:lineRule="auto"/>
      </w:pPr>
      <w:r>
        <w:t>D. Renal colic — does not match the characteristic feature/management described in the stem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Peptic ulcer</w:t>
      </w:r>
    </w:p>
    <w:p>
      <w:pPr>
        <w:spacing w:after="200" w:line="276" w:lineRule="auto"/>
      </w:pPr>
      <w:r>
        <w:t>→ Cause: H. pylori, NSAIDs, smoking, stress</w:t>
      </w:r>
    </w:p>
    <w:p>
      <w:pPr>
        <w:spacing w:after="200" w:line="276" w:lineRule="auto"/>
      </w:pPr>
      <w:r>
        <w:t>→ Triple therapy: PPI + Amoxicillin + Clarithromycin (+ metronidazole alternative)</w:t>
      </w:r>
    </w:p>
    <w:p>
      <w:pPr>
        <w:spacing w:after="200" w:line="276" w:lineRule="auto"/>
      </w:pPr>
      <w:r>
        <w:t>→ Pain relieved by food in duodenal ulcer; worse with food in gastric ulcer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management of bowel obstruction includes</w:t>
      </w:r>
    </w:p>
    <w:p>
      <w:pPr>
        <w:spacing w:after="200" w:line="276" w:lineRule="auto"/>
      </w:pPr>
      <w:r>
        <w:t>(a) NPO, nasogastric decompression, IV fluids and monitoring</w:t>
      </w:r>
    </w:p>
    <w:p>
      <w:pPr>
        <w:spacing w:after="200" w:line="276" w:lineRule="auto"/>
      </w:pPr>
      <w:r>
        <w:t>(b) Oral feeding</w:t>
      </w:r>
    </w:p>
    <w:p>
      <w:pPr>
        <w:spacing w:after="200" w:line="276" w:lineRule="auto"/>
      </w:pPr>
      <w:r>
        <w:t>(c) Enemas always</w:t>
      </w:r>
    </w:p>
    <w:p>
      <w:pPr>
        <w:spacing w:after="200" w:line="276" w:lineRule="auto"/>
      </w:pPr>
      <w:r>
        <w:t>(d) Laxatives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NPO, nasogastric decompression, IV fluids and monitoring</w:t>
      </w:r>
    </w:p>
    <w:p>
      <w:pPr>
        <w:spacing w:after="200" w:line="276" w:lineRule="auto"/>
      </w:pPr>
      <w:r>
        <w:t>🧠 Clinical Rationale: NPO + NG tube decompresses the bowel; fluids correct losses; surgery if strangulation is suspected.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feeding — does not match the characteristic feature/management described in the stem</w:t>
      </w:r>
    </w:p>
    <w:p>
      <w:pPr>
        <w:spacing w:after="200" w:line="276" w:lineRule="auto"/>
      </w:pPr>
      <w:r>
        <w:t>C. Enemas always — does not match the characteristic feature/management described in the stem</w:t>
      </w:r>
    </w:p>
    <w:p>
      <w:pPr>
        <w:spacing w:after="200" w:line="276" w:lineRule="auto"/>
      </w:pPr>
      <w:r>
        <w:t>D. Laxatives — does not match the characteristic feature/management described in the stem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DKA, the initial priority after ABC is</w:t>
      </w:r>
    </w:p>
    <w:p>
      <w:pPr>
        <w:spacing w:after="200" w:line="276" w:lineRule="auto"/>
      </w:pPr>
      <w:r>
        <w:t>(a) Give potassium first always</w:t>
      </w:r>
    </w:p>
    <w:p>
      <w:pPr>
        <w:spacing w:after="200" w:line="276" w:lineRule="auto"/>
      </w:pPr>
      <w:r>
        <w:t>(b) Give bicarbonate routinely</w:t>
      </w:r>
    </w:p>
    <w:p>
      <w:pPr>
        <w:spacing w:after="200" w:line="276" w:lineRule="auto"/>
      </w:pPr>
      <w:r>
        <w:t>(c) Start oral feeds</w:t>
      </w:r>
    </w:p>
    <w:p>
      <w:pPr>
        <w:spacing w:after="200" w:line="276" w:lineRule="auto"/>
      </w:pPr>
      <w:r>
        <w:t>(d) IV fluid resuscitation, then insulin infusion and potassium replacement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fluid resuscitation, then insulin infusion and potassium replacement</w:t>
      </w:r>
    </w:p>
    <w:p>
      <w:pPr>
        <w:spacing w:after="200" w:line="276" w:lineRule="auto"/>
      </w:pPr>
      <w:r>
        <w:t>🧠 Clinical Rationale: Fluids first correct hypovolaemia; insulin follows; potassium is replaced as levels fall.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Diabetic Ketoacidosis -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fluid resuscitation, then insulin infusion and potassium replacement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potassium first always — does not address the immediate life-threatening problem (ABC comes first)</w:t>
      </w:r>
    </w:p>
    <w:p>
      <w:pPr>
        <w:spacing w:after="200" w:line="276" w:lineRule="auto"/>
      </w:pPr>
      <w:r>
        <w:t>B. Give bicarbonate routinely — does not address the immediate life-threatening problem (ABC comes first)</w:t>
      </w:r>
    </w:p>
    <w:p>
      <w:pPr>
        <w:spacing w:after="200" w:line="276" w:lineRule="auto"/>
      </w:pPr>
      <w:r>
        <w:t>C. Start oral feeds — does not address the immediate life-threatening problem (ABC comes first)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Hyperosmolar hyperglycaemic state (HHS) differs from DKA by</w:t>
      </w:r>
    </w:p>
    <w:p>
      <w:pPr>
        <w:spacing w:after="200" w:line="276" w:lineRule="auto"/>
      </w:pPr>
      <w:r>
        <w:t>(a) Heavy ketosis with normal glucose</w:t>
      </w:r>
    </w:p>
    <w:p>
      <w:pPr>
        <w:spacing w:after="200" w:line="276" w:lineRule="auto"/>
      </w:pPr>
      <w:r>
        <w:t>(b) Very high glucose with minimal ketosis and severe dehydration</w:t>
      </w:r>
    </w:p>
    <w:p>
      <w:pPr>
        <w:spacing w:after="200" w:line="276" w:lineRule="auto"/>
      </w:pPr>
      <w:r>
        <w:t>(c) Hypoglycaemia</w:t>
      </w:r>
    </w:p>
    <w:p>
      <w:pPr>
        <w:spacing w:after="200" w:line="276" w:lineRule="auto"/>
      </w:pPr>
      <w:r>
        <w:t>(d) Respiratory alkalosis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Very high glucose with minimal ketosis and severe dehydration</w:t>
      </w:r>
    </w:p>
    <w:p>
      <w:pPr>
        <w:spacing w:after="200" w:line="276" w:lineRule="auto"/>
      </w:pPr>
      <w:r>
        <w:t>🧠 Clinical Rationale: HHS: glucose often &gt;600 mg/dL, little/no ketones, profound dehydration — often in type 2 diabetes.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Heavy ketosis with normal glucose — does not match the characteristic feature/management described in the stem</w:t>
      </w:r>
    </w:p>
    <w:p>
      <w:pPr>
        <w:spacing w:after="200" w:line="276" w:lineRule="auto"/>
      </w:pPr>
      <w:r>
        <w:t>C. Hypoglycaemia — does not match the characteristic feature/management described in the stem</w:t>
      </w:r>
    </w:p>
    <w:p>
      <w:pPr>
        <w:spacing w:after="200" w:line="276" w:lineRule="auto"/>
      </w:pPr>
      <w:r>
        <w:t>D. Respiratory alkalosis — does not match the characteristic feature/management described in the stem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febrile patient with altered consciousness returning from a malaria-endemic area needs</w:t>
      </w:r>
    </w:p>
    <w:p>
      <w:pPr>
        <w:spacing w:after="200" w:line="276" w:lineRule="auto"/>
      </w:pPr>
      <w:r>
        <w:t>(a) Oral antibiotics only</w:t>
      </w:r>
    </w:p>
    <w:p>
      <w:pPr>
        <w:spacing w:after="200" w:line="276" w:lineRule="auto"/>
      </w:pPr>
      <w:r>
        <w:t>(b) Antipyretics only</w:t>
      </w:r>
    </w:p>
    <w:p>
      <w:pPr>
        <w:spacing w:after="200" w:line="276" w:lineRule="auto"/>
      </w:pPr>
      <w:r>
        <w:t>(c) Observation only</w:t>
      </w:r>
    </w:p>
    <w:p>
      <w:pPr>
        <w:spacing w:after="200" w:line="276" w:lineRule="auto"/>
      </w:pPr>
      <w:r>
        <w:t>(d) Urgent blood smear/RDT and IV artesunate for possible cerebral malaria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Urgent blood smear/RDT and IV artesunate for possible cerebral malaria</w:t>
      </w:r>
    </w:p>
    <w:p>
      <w:pPr>
        <w:spacing w:after="200" w:line="276" w:lineRule="auto"/>
      </w:pPr>
      <w:r>
        <w:t>🧠 Clinical Rationale: Cerebral malaria is an emergency — parenteral artesunate plus supportive care reduces mortality.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Altered consciousness — cerebral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antibiotics only — drug step — may be needed later, but it does not correct the immediate life-threatening problem</w:t>
      </w:r>
    </w:p>
    <w:p>
      <w:pPr>
        <w:spacing w:after="200" w:line="276" w:lineRule="auto"/>
      </w:pPr>
      <w:r>
        <w:t>B. Antipyretics only — does not match the characteristic feature/management described in the stem</w:t>
      </w:r>
    </w:p>
    <w:p>
      <w:pPr>
        <w:spacing w:after="200" w:line="276" w:lineRule="auto"/>
      </w:pPr>
      <w:r>
        <w:t>C. Observation only — does not match the characteristic feature/management described in the stem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Atropine is given for symptomatic bradycardia because it</w:t>
      </w:r>
    </w:p>
    <w:p>
      <w:pPr>
        <w:spacing w:after="200" w:line="276" w:lineRule="auto"/>
      </w:pPr>
      <w:r>
        <w:t>(a) Blocks beta receptors</w:t>
      </w:r>
    </w:p>
    <w:p>
      <w:pPr>
        <w:spacing w:after="200" w:line="276" w:lineRule="auto"/>
      </w:pPr>
      <w:r>
        <w:t>(b) Is a sedative</w:t>
      </w:r>
    </w:p>
    <w:p>
      <w:pPr>
        <w:spacing w:after="200" w:line="276" w:lineRule="auto"/>
      </w:pPr>
      <w:r>
        <w:t>(c) Lowers heart rate</w:t>
      </w:r>
    </w:p>
    <w:p>
      <w:pPr>
        <w:spacing w:after="200" w:line="276" w:lineRule="auto"/>
      </w:pPr>
      <w:r>
        <w:t>(d) Blocks vagal (parasympathetic) tone, raising heart rate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Blocks vagal (parasympathetic) tone, raising heart rate</w:t>
      </w:r>
    </w:p>
    <w:p>
      <w:pPr>
        <w:spacing w:after="200" w:line="276" w:lineRule="auto"/>
      </w:pPr>
      <w:r>
        <w:t>🧠 Clinical Rationale: Atropine (anticholinergic) accelerates HR in symptomatic sinus bradycardia or AV block.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Bradycardia — conduction block / drug toxicity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Blocks beta receptors — not the correct drug/class for this indication</w:t>
      </w:r>
    </w:p>
    <w:p>
      <w:pPr>
        <w:spacing w:after="200" w:line="276" w:lineRule="auto"/>
      </w:pPr>
      <w:r>
        <w:t>B. Is a sedative — not the correct drug/class for this indication</w:t>
      </w:r>
    </w:p>
    <w:p>
      <w:pPr>
        <w:spacing w:after="200" w:line="276" w:lineRule="auto"/>
      </w:pPr>
      <w:r>
        <w:t>C. Lowers heart rate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Adenosine terminates stable supraventricular tachycardia by</w:t>
      </w:r>
    </w:p>
    <w:p>
      <w:pPr>
        <w:spacing w:after="200" w:line="276" w:lineRule="auto"/>
      </w:pPr>
      <w:r>
        <w:t>(a) Defibrillating the heart</w:t>
      </w:r>
    </w:p>
    <w:p>
      <w:pPr>
        <w:spacing w:after="200" w:line="276" w:lineRule="auto"/>
      </w:pPr>
      <w:r>
        <w:t>(b) Slowing conduction permanently</w:t>
      </w:r>
    </w:p>
    <w:p>
      <w:pPr>
        <w:spacing w:after="200" w:line="276" w:lineRule="auto"/>
      </w:pPr>
      <w:r>
        <w:t>(c) Briefly blocking AV nodal conduction (given as rapid IV bolus)</w:t>
      </w:r>
    </w:p>
    <w:p>
      <w:pPr>
        <w:spacing w:after="200" w:line="276" w:lineRule="auto"/>
      </w:pPr>
      <w:r>
        <w:t>(d) Raising blood pressure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Briefly blocking AV nodal conduction (given as rapid IV bolus)</w:t>
      </w:r>
    </w:p>
    <w:p>
      <w:pPr>
        <w:spacing w:after="200" w:line="276" w:lineRule="auto"/>
      </w:pPr>
      <w:r>
        <w:t>🧠 Clinical Rationale: Rapid 6-12 mg IV bolus with flush interrupts re-entry through the AV node in SVT.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Defibrillating the heart — not the correct drug/class for this indication</w:t>
      </w:r>
    </w:p>
    <w:p>
      <w:pPr>
        <w:spacing w:after="200" w:line="276" w:lineRule="auto"/>
      </w:pPr>
      <w:r>
        <w:t>B. Slowing conduction permanently — not the correct drug/class for this indication</w:t>
      </w:r>
    </w:p>
    <w:p>
      <w:pPr>
        <w:spacing w:after="200" w:line="276" w:lineRule="auto"/>
      </w:pPr>
      <w:r>
        <w:t>D. Raising blood pressure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cardiac arrest with shock-refractory VF/VT, amiodarone is given as</w:t>
      </w:r>
    </w:p>
    <w:p>
      <w:pPr>
        <w:spacing w:after="200" w:line="276" w:lineRule="auto"/>
      </w:pPr>
      <w:r>
        <w:t>(a) 100 mg oral</w:t>
      </w:r>
    </w:p>
    <w:p>
      <w:pPr>
        <w:spacing w:after="200" w:line="276" w:lineRule="auto"/>
      </w:pPr>
      <w:r>
        <w:t>(b) 1 g IM</w:t>
      </w:r>
    </w:p>
    <w:p>
      <w:pPr>
        <w:spacing w:after="200" w:line="276" w:lineRule="auto"/>
      </w:pPr>
      <w:r>
        <w:t>(c) 300 mg IV/IO bolus (150 mg for recurrence)</w:t>
      </w:r>
    </w:p>
    <w:p>
      <w:pPr>
        <w:spacing w:after="200" w:line="276" w:lineRule="auto"/>
      </w:pPr>
      <w:r>
        <w:t>(d) 10 mg slow push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300 mg IV/IO bolus (150 mg for recurrence)</w:t>
      </w:r>
    </w:p>
    <w:p>
      <w:pPr>
        <w:spacing w:after="200" w:line="276" w:lineRule="auto"/>
      </w:pPr>
      <w:r>
        <w:t>🧠 Clinical Rationale: ACLS: amiodarone 300 mg after the third shock, then 150 mg for recurrent VF/VT.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mg oral — not the correct drug/class for this indication</w:t>
      </w:r>
    </w:p>
    <w:p>
      <w:pPr>
        <w:spacing w:after="200" w:line="276" w:lineRule="auto"/>
      </w:pPr>
      <w:r>
        <w:t>B. 1 g IM — not the correct drug/class for this indication</w:t>
      </w:r>
    </w:p>
    <w:p>
      <w:pPr>
        <w:spacing w:after="200" w:line="276" w:lineRule="auto"/>
      </w:pPr>
      <w:r>
        <w:t>D. 10 mg slow push — not the correct drug/class for this indication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calcium gluconate is given in severe hyperkalaemia to</w:t>
      </w:r>
    </w:p>
    <w:p>
      <w:pPr>
        <w:spacing w:after="200" w:line="276" w:lineRule="auto"/>
      </w:pPr>
      <w:r>
        <w:t>(a) Lower potassium permanently</w:t>
      </w:r>
    </w:p>
    <w:p>
      <w:pPr>
        <w:spacing w:after="200" w:line="276" w:lineRule="auto"/>
      </w:pPr>
      <w:r>
        <w:t>(b) Increase potassium</w:t>
      </w:r>
    </w:p>
    <w:p>
      <w:pPr>
        <w:spacing w:after="200" w:line="276" w:lineRule="auto"/>
      </w:pPr>
      <w:r>
        <w:t>(c) Sedate the patient</w:t>
      </w:r>
    </w:p>
    <w:p>
      <w:pPr>
        <w:spacing w:after="200" w:line="276" w:lineRule="auto"/>
      </w:pPr>
      <w:r>
        <w:t>(d) Stabilise the cardiac membrane against arrhythmia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Stabilise the cardiac membrane against arrhythmia</w:t>
      </w:r>
    </w:p>
    <w:p>
      <w:pPr>
        <w:spacing w:after="200" w:line="276" w:lineRule="auto"/>
      </w:pPr>
      <w:r>
        <w:t>🧠 Clinical Rationale: Calcium antagonises potassium's cardiac effects immediately; insulin-glucose then shifts K+ into cells.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Lower potassium permanently — not the correct drug/class for this indication</w:t>
      </w:r>
    </w:p>
    <w:p>
      <w:pPr>
        <w:spacing w:after="200" w:line="276" w:lineRule="auto"/>
      </w:pPr>
      <w:r>
        <w:t>B. Increase potassium — not the correct drug/class for this indication</w:t>
      </w:r>
    </w:p>
    <w:p>
      <w:pPr>
        <w:spacing w:after="200" w:line="276" w:lineRule="auto"/>
      </w:pPr>
      <w:r>
        <w:t>C. Sedate the patient — not the correct drug/class for this indication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Sodium bicarbonate in cardiac arrest is reserved for</w:t>
      </w:r>
    </w:p>
    <w:p>
      <w:pPr>
        <w:spacing w:after="200" w:line="276" w:lineRule="auto"/>
      </w:pPr>
      <w:r>
        <w:t>(a) All arrests routinely</w:t>
      </w:r>
    </w:p>
    <w:p>
      <w:pPr>
        <w:spacing w:after="200" w:line="276" w:lineRule="auto"/>
      </w:pPr>
      <w:r>
        <w:t>(b) Mild alkalosis</w:t>
      </w:r>
    </w:p>
    <w:p>
      <w:pPr>
        <w:spacing w:after="200" w:line="276" w:lineRule="auto"/>
      </w:pPr>
      <w:r>
        <w:t>(c) Hyperkalaemia, tricyclic overdose or prolonged arrest with severe acidosis</w:t>
      </w:r>
    </w:p>
    <w:p>
      <w:pPr>
        <w:spacing w:after="200" w:line="276" w:lineRule="auto"/>
      </w:pPr>
      <w:r>
        <w:t>(d) Every rhythm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Hyperkalaemia, tricyclic overdose or prolonged arrest with severe acidosis</w:t>
      </w:r>
    </w:p>
    <w:p>
      <w:pPr>
        <w:spacing w:after="200" w:line="276" w:lineRule="auto"/>
      </w:pPr>
      <w:r>
        <w:t>🧠 Clinical Rationale: Routine bicarbonate does not improve arrest outcomes; it is used for specific causes (hyperkalaemia, TCA toxicity).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arrests routinely — not the correct drug/class for this indication</w:t>
      </w:r>
    </w:p>
    <w:p>
      <w:pPr>
        <w:spacing w:after="200" w:line="276" w:lineRule="auto"/>
      </w:pPr>
      <w:r>
        <w:t>B. Mild alkalosis — not the correct drug/class for this indication</w:t>
      </w:r>
    </w:p>
    <w:p>
      <w:pPr>
        <w:spacing w:after="200" w:line="276" w:lineRule="auto"/>
      </w:pPr>
      <w:r>
        <w:t>D. Every rhythm — not the correct drug/class for this indication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Flumazenil reverses benzodiazepine overdose but is AVOIDED in patients who</w:t>
      </w:r>
    </w:p>
    <w:p>
      <w:pPr>
        <w:spacing w:after="200" w:line="276" w:lineRule="auto"/>
      </w:pPr>
      <w:r>
        <w:t>(a) Take benzodiazepines chronically or have seized (seizure risk)</w:t>
      </w:r>
    </w:p>
    <w:p>
      <w:pPr>
        <w:spacing w:after="200" w:line="276" w:lineRule="auto"/>
      </w:pPr>
      <w:r>
        <w:t>(b) Are young</w:t>
      </w:r>
    </w:p>
    <w:p>
      <w:pPr>
        <w:spacing w:after="200" w:line="276" w:lineRule="auto"/>
      </w:pPr>
      <w:r>
        <w:t>(c) Have asthma</w:t>
      </w:r>
    </w:p>
    <w:p>
      <w:pPr>
        <w:spacing w:after="200" w:line="276" w:lineRule="auto"/>
      </w:pPr>
      <w:r>
        <w:t>(d) Are pregnant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Take benzodiazepines chronically or have seized (seizure risk)</w:t>
      </w:r>
    </w:p>
    <w:p>
      <w:pPr>
        <w:spacing w:after="200" w:line="276" w:lineRule="auto"/>
      </w:pPr>
      <w:r>
        <w:t>🧠 Clinical Rationale: Flumazenil can precipitate withdrawal seizures in chronic users and mixed overdoses — use cautiously.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Are young — not the correct drug/class for this indication</w:t>
      </w:r>
    </w:p>
    <w:p>
      <w:pPr>
        <w:spacing w:after="200" w:line="276" w:lineRule="auto"/>
      </w:pPr>
      <w:r>
        <w:t>C. Have asthma — not the correct drug/class for this indication</w:t>
      </w:r>
    </w:p>
    <w:p>
      <w:pPr>
        <w:spacing w:after="200" w:line="276" w:lineRule="auto"/>
      </w:pPr>
      <w:r>
        <w:t>D. Are pregnant — not the correct drug/class for this indication</w:t>
      </w:r>
    </w:p>
    <w:p>
      <w:pPr>
        <w:spacing w:after="200" w:line="276" w:lineRule="auto"/>
      </w:pPr>
      <w:r>
        <w:t>⚠️ Exam Trap: Antidote pairings: benzodiazepine → flumazenil; opioid → naloxone; heparin → protamine; warfarin → vitamin K — never swap them.</w:t>
      </w:r>
    </w:p>
    <w:p>
      <w:pPr>
        <w:spacing w:after="200" w:line="276" w:lineRule="auto"/>
      </w:pPr>
      <w:r>
        <w:t>💎 PNC Pearl: Flumazenil is the antidote for benzodiazepine overdose — use cautiously (seizure risk in mixed overdose or chronic users).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Antidotes</w:t>
      </w:r>
    </w:p>
    <w:p>
      <w:pPr>
        <w:spacing w:after="200" w:line="276" w:lineRule="auto"/>
      </w:pPr>
      <w:r>
        <w:t>→ Benzodiazepines → flumazenil (seizure risk in mixed overdose)</w:t>
      </w:r>
    </w:p>
    <w:p>
      <w:pPr>
        <w:spacing w:after="200" w:line="276" w:lineRule="auto"/>
      </w:pPr>
      <w:r>
        <w:t>→ Opioids → naloxone (Narcan)</w:t>
      </w:r>
    </w:p>
    <w:p>
      <w:pPr>
        <w:spacing w:after="200" w:line="276" w:lineRule="auto"/>
      </w:pPr>
      <w:r>
        <w:t>→ Heparin → protamine sulfate; Warfarin → vitamin K</w:t>
      </w:r>
    </w:p>
    <w:p>
      <w:pPr>
        <w:spacing w:after="200" w:line="276" w:lineRule="auto"/>
      </w:pPr>
      <w:r>
        <w:t>→ Paracetamol → N-acetylcysteine; digoxin → Digoxin immune Fab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