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burn involving the epidermis and dermis with blisters and severe pain is</w:t>
      </w:r>
    </w:p>
    <w:p>
      <w:pPr>
        <w:spacing w:after="200" w:line="276" w:lineRule="auto"/>
      </w:pPr>
      <w:r>
        <w:t>(a) Partial-thickness (second-degree) burn</w:t>
      </w:r>
    </w:p>
    <w:p>
      <w:pPr>
        <w:spacing w:after="200" w:line="276" w:lineRule="auto"/>
      </w:pPr>
      <w:r>
        <w:t>(b) Superficial (first-degree) burn</w:t>
      </w:r>
    </w:p>
    <w:p>
      <w:pPr>
        <w:spacing w:after="200" w:line="276" w:lineRule="auto"/>
      </w:pPr>
      <w:r>
        <w:t>(c) Full-thickness (third-degree) burn</w:t>
      </w:r>
    </w:p>
    <w:p>
      <w:pPr>
        <w:spacing w:after="200" w:line="276" w:lineRule="auto"/>
      </w:pPr>
      <w:r>
        <w:t>(d) Fourth-degree burn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Partial-thickness (second-degree) burn</w:t>
      </w:r>
    </w:p>
    <w:p>
      <w:pPr>
        <w:spacing w:after="200" w:line="276" w:lineRule="auto"/>
      </w:pPr>
      <w:r>
        <w:t>🧠 Clinical Rationale: Partial-thickness burns show blisters, redness, moisture and pain; full-thickness burns are leathery and painless.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Superficial (first-degree) burn — a related concept, but it does not match the defining feature asked</w:t>
      </w:r>
    </w:p>
    <w:p>
      <w:pPr>
        <w:spacing w:after="200" w:line="276" w:lineRule="auto"/>
      </w:pPr>
      <w:r>
        <w:t>C. Full-thickness (third-degree) burn — a related concept, but it does not match the defining feature asked</w:t>
      </w:r>
    </w:p>
    <w:p>
      <w:pPr>
        <w:spacing w:after="200" w:line="276" w:lineRule="auto"/>
      </w:pPr>
      <w:r>
        <w:t>D. Fourth-degree burn — a related concept, but it does not match the defining feature asked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classic feature of a full-thickness (third-degree) burn is</w:t>
      </w:r>
    </w:p>
    <w:p>
      <w:pPr>
        <w:spacing w:after="200" w:line="276" w:lineRule="auto"/>
      </w:pPr>
      <w:r>
        <w:t>(a) Waxy, leathery, painless eschar</w:t>
      </w:r>
    </w:p>
    <w:p>
      <w:pPr>
        <w:spacing w:after="200" w:line="276" w:lineRule="auto"/>
      </w:pPr>
      <w:r>
        <w:t>(b) Blistering with severe pain</w:t>
      </w:r>
    </w:p>
    <w:p>
      <w:pPr>
        <w:spacing w:after="200" w:line="276" w:lineRule="auto"/>
      </w:pPr>
      <w:r>
        <w:t>(c) Erythema only</w:t>
      </w:r>
    </w:p>
    <w:p>
      <w:pPr>
        <w:spacing w:after="200" w:line="276" w:lineRule="auto"/>
      </w:pPr>
      <w:r>
        <w:t>(d) Itching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Waxy, leathery, painless eschar</w:t>
      </w:r>
    </w:p>
    <w:p>
      <w:pPr>
        <w:spacing w:after="200" w:line="276" w:lineRule="auto"/>
      </w:pPr>
      <w:r>
        <w:t>🧠 Clinical Rationale: Destruction of nerve endings makes full-thickness burns painless; the surface is white/charred and leathery.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Blistering with severe pain — does not match the characteristic feature/management described in the stem</w:t>
      </w:r>
    </w:p>
    <w:p>
      <w:pPr>
        <w:spacing w:after="200" w:line="276" w:lineRule="auto"/>
      </w:pPr>
      <w:r>
        <w:t>C. Erythema only — does not match the characteristic feature/management described in the stem</w:t>
      </w:r>
    </w:p>
    <w:p>
      <w:pPr>
        <w:spacing w:after="200" w:line="276" w:lineRule="auto"/>
      </w:pPr>
      <w:r>
        <w:t>D. Itching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the adult Rule of Nines, each entire lower limb accounts for</w:t>
      </w:r>
    </w:p>
    <w:p>
      <w:pPr>
        <w:spacing w:after="200" w:line="276" w:lineRule="auto"/>
      </w:pPr>
      <w:r>
        <w:t>(a) 9%</w:t>
      </w:r>
    </w:p>
    <w:p>
      <w:pPr>
        <w:spacing w:after="200" w:line="276" w:lineRule="auto"/>
      </w:pPr>
      <w:r>
        <w:t>(b) 4.5%</w:t>
      </w:r>
    </w:p>
    <w:p>
      <w:pPr>
        <w:spacing w:after="200" w:line="276" w:lineRule="auto"/>
      </w:pPr>
      <w:r>
        <w:t>(c) 36%</w:t>
      </w:r>
    </w:p>
    <w:p>
      <w:pPr>
        <w:spacing w:after="200" w:line="276" w:lineRule="auto"/>
      </w:pPr>
      <w:r>
        <w:t>(d) 18%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18%</w:t>
      </w:r>
    </w:p>
    <w:p>
      <w:pPr>
        <w:spacing w:after="200" w:line="276" w:lineRule="auto"/>
      </w:pPr>
      <w:r>
        <w:t>🧠 Clinical Rationale: Adult rule of nines: head 9, each arm 9, front trunk 18, back trunk 18, each leg 18, perineum 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9% — would result from an error in formula or unit conversion</w:t>
      </w:r>
    </w:p>
    <w:p>
      <w:pPr>
        <w:spacing w:after="200" w:line="276" w:lineRule="auto"/>
      </w:pPr>
      <w:r>
        <w:t>B. 4.5% — would result from an error in formula or unit conversion</w:t>
      </w:r>
    </w:p>
    <w:p>
      <w:pPr>
        <w:spacing w:after="200" w:line="276" w:lineRule="auto"/>
      </w:pPr>
      <w:r>
        <w:t>C. 36% — would result from an error in formula or unit conversion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children, the head is assigned a LARGER percentage in the rule of nines because</w:t>
      </w:r>
    </w:p>
    <w:p>
      <w:pPr>
        <w:spacing w:after="200" w:line="276" w:lineRule="auto"/>
      </w:pPr>
      <w:r>
        <w:t>(a) It burns faster</w:t>
      </w:r>
    </w:p>
    <w:p>
      <w:pPr>
        <w:spacing w:after="200" w:line="276" w:lineRule="auto"/>
      </w:pPr>
      <w:r>
        <w:t>(b) The head is proportionally larger in children (14-18% vs 9% in adults)</w:t>
      </w:r>
    </w:p>
    <w:p>
      <w:pPr>
        <w:spacing w:after="200" w:line="276" w:lineRule="auto"/>
      </w:pPr>
      <w:r>
        <w:t>(c) Of body weight</w:t>
      </w:r>
    </w:p>
    <w:p>
      <w:pPr>
        <w:spacing w:after="200" w:line="276" w:lineRule="auto"/>
      </w:pPr>
      <w:r>
        <w:t>(d) Of skin colour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head is proportionally larger in children (14-18% vs 9% in adults)</w:t>
      </w:r>
    </w:p>
    <w:p>
      <w:pPr>
        <w:spacing w:after="200" w:line="276" w:lineRule="auto"/>
      </w:pPr>
      <w:r>
        <w:t>🧠 Clinical Rationale: Children have proportionally bigger heads and smaller legs — adjust the rule of nines accordingly.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burns faster — would result from an error in formula or unit conversion</w:t>
      </w:r>
    </w:p>
    <w:p>
      <w:pPr>
        <w:spacing w:after="200" w:line="276" w:lineRule="auto"/>
      </w:pPr>
      <w:r>
        <w:t>C. Of body weight — would result from an error in formula or unit conversion</w:t>
      </w:r>
    </w:p>
    <w:p>
      <w:pPr>
        <w:spacing w:after="200" w:line="276" w:lineRule="auto"/>
      </w:pPr>
      <w:r>
        <w:t>D. Of skin colour — would result from an error in formula or unit conversion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Using the Parkland formula, a 70 kg patient with 40% TBSA burns needs total fluid in 24 hours of</w:t>
      </w:r>
    </w:p>
    <w:p>
      <w:pPr>
        <w:spacing w:after="200" w:line="276" w:lineRule="auto"/>
      </w:pPr>
      <w:r>
        <w:t>(a) 2,800 mL</w:t>
      </w:r>
    </w:p>
    <w:p>
      <w:pPr>
        <w:spacing w:after="200" w:line="276" w:lineRule="auto"/>
      </w:pPr>
      <w:r>
        <w:t>(b) 5,600 mL</w:t>
      </w:r>
    </w:p>
    <w:p>
      <w:pPr>
        <w:spacing w:after="200" w:line="276" w:lineRule="auto"/>
      </w:pPr>
      <w:r>
        <w:t>(c) 22,400 mL</w:t>
      </w:r>
    </w:p>
    <w:p>
      <w:pPr>
        <w:spacing w:after="200" w:line="276" w:lineRule="auto"/>
      </w:pPr>
      <w:r>
        <w:t>(d) 11,200 mL (4 × 70 × 40)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11,200 mL (4 × 70 × 40)</w:t>
      </w:r>
    </w:p>
    <w:p>
      <w:pPr>
        <w:spacing w:after="200" w:line="276" w:lineRule="auto"/>
      </w:pPr>
      <w:r>
        <w:t>🧠 Clinical Rationale: 4 mL × weight (kg) × %TBSA = 4 × 70 × 40 = 11,200 mL; half in first 8 hours.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70 kg — given value to plug into the formula</w:t>
      </w:r>
    </w:p>
    <w:p>
      <w:pPr>
        <w:spacing w:after="200" w:line="276" w:lineRule="auto"/>
      </w:pPr>
      <w:r>
        <w:t>• 40% — given value to plug into the formula</w:t>
      </w:r>
    </w:p>
    <w:p>
      <w:pPr>
        <w:spacing w:after="200" w:line="276" w:lineRule="auto"/>
      </w:pPr>
      <w:r>
        <w:t>• 24 hours — given value to plug into the formula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2,800 mL — would result from an error in formula or unit conversion</w:t>
      </w:r>
    </w:p>
    <w:p>
      <w:pPr>
        <w:spacing w:after="200" w:line="276" w:lineRule="auto"/>
      </w:pPr>
      <w:r>
        <w:t>B. 5,600 mL — would result from an error in formula or unit conversion</w:t>
      </w:r>
    </w:p>
    <w:p>
      <w:pPr>
        <w:spacing w:after="200" w:line="276" w:lineRule="auto"/>
      </w:pPr>
      <w:r>
        <w:t>C. 22,400 mL — would result from an error in formula or unit conversion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burn resuscitation, HALF of the calculated first-24-hour fluid is given in</w:t>
      </w:r>
    </w:p>
    <w:p>
      <w:pPr>
        <w:spacing w:after="200" w:line="276" w:lineRule="auto"/>
      </w:pPr>
      <w:r>
        <w:t>(a) The last 8 hours</w:t>
      </w:r>
    </w:p>
    <w:p>
      <w:pPr>
        <w:spacing w:after="200" w:line="276" w:lineRule="auto"/>
      </w:pPr>
      <w:r>
        <w:t>(b) The first 8 hours from the time of burn</w:t>
      </w:r>
    </w:p>
    <w:p>
      <w:pPr>
        <w:spacing w:after="200" w:line="276" w:lineRule="auto"/>
      </w:pPr>
      <w:r>
        <w:t>(c) The first hour only</w:t>
      </w:r>
    </w:p>
    <w:p>
      <w:pPr>
        <w:spacing w:after="200" w:line="276" w:lineRule="auto"/>
      </w:pPr>
      <w:r>
        <w:t>(d) Evenly across 24 hours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first 8 hours from the time of burn</w:t>
      </w:r>
    </w:p>
    <w:p>
      <w:pPr>
        <w:spacing w:after="200" w:line="276" w:lineRule="auto"/>
      </w:pPr>
      <w:r>
        <w:t>🧠 Clinical Rationale: Capillary leak is greatest early — infuse half the 24-h total in the first 8 hours from injury time.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last 8 hours — does not match the characteristic feature/management described in the stem</w:t>
      </w:r>
    </w:p>
    <w:p>
      <w:pPr>
        <w:spacing w:after="200" w:line="276" w:lineRule="auto"/>
      </w:pPr>
      <w:r>
        <w:t>C. The first hour only — does not match the characteristic feature/management described in the stem</w:t>
      </w:r>
    </w:p>
    <w:p>
      <w:pPr>
        <w:spacing w:after="200" w:line="276" w:lineRule="auto"/>
      </w:pPr>
      <w:r>
        <w:t>D. Evenly across 24 hours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Adequate burn resuscitation in an adult is reflected by urine output of</w:t>
      </w:r>
    </w:p>
    <w:p>
      <w:pPr>
        <w:spacing w:after="200" w:line="276" w:lineRule="auto"/>
      </w:pPr>
      <w:r>
        <w:t>(a) 0.5-1 mL/kg/hour</w:t>
      </w:r>
    </w:p>
    <w:p>
      <w:pPr>
        <w:spacing w:after="200" w:line="276" w:lineRule="auto"/>
      </w:pPr>
      <w:r>
        <w:t>(b) 0.1 mL/kg/hour</w:t>
      </w:r>
    </w:p>
    <w:p>
      <w:pPr>
        <w:spacing w:after="200" w:line="276" w:lineRule="auto"/>
      </w:pPr>
      <w:r>
        <w:t>(c) 3 mL/kg/hour</w:t>
      </w:r>
    </w:p>
    <w:p>
      <w:pPr>
        <w:spacing w:after="200" w:line="276" w:lineRule="auto"/>
      </w:pPr>
      <w:r>
        <w:t>(d) No urine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0.5-1 mL/kg/hour</w:t>
      </w:r>
    </w:p>
    <w:p>
      <w:pPr>
        <w:spacing w:after="200" w:line="276" w:lineRule="auto"/>
      </w:pPr>
      <w:r>
        <w:t>🧠 Clinical Rationale: Urine output 0.5-1 mL/kg/h (adults) guides fluid titration; 1-2 in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0.1 mL/kg/hour — does not match the characteristic feature/management described in the stem</w:t>
      </w:r>
    </w:p>
    <w:p>
      <w:pPr>
        <w:spacing w:after="200" w:line="276" w:lineRule="auto"/>
      </w:pPr>
      <w:r>
        <w:t>C. 3 mL/kg/hour — does not match the characteristic feature/management described in the stem</w:t>
      </w:r>
    </w:p>
    <w:p>
      <w:pPr>
        <w:spacing w:after="200" w:line="276" w:lineRule="auto"/>
      </w:pPr>
      <w:r>
        <w:t>D. No urine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smoke inhalation, carbon monoxide poisoning causes tissue hypoxia because CO</w:t>
      </w:r>
    </w:p>
    <w:p>
      <w:pPr>
        <w:spacing w:after="200" w:line="276" w:lineRule="auto"/>
      </w:pPr>
      <w:r>
        <w:t>(a) Binds haemoglobin 200-250× more avidly than oxygen</w:t>
      </w:r>
    </w:p>
    <w:p>
      <w:pPr>
        <w:spacing w:after="200" w:line="276" w:lineRule="auto"/>
      </w:pPr>
      <w:r>
        <w:t>(b) Blocks calcium channels</w:t>
      </w:r>
    </w:p>
    <w:p>
      <w:pPr>
        <w:spacing w:after="200" w:line="276" w:lineRule="auto"/>
      </w:pPr>
      <w:r>
        <w:t>(c) Raises oxygen levels</w:t>
      </w:r>
    </w:p>
    <w:p>
      <w:pPr>
        <w:spacing w:after="200" w:line="276" w:lineRule="auto"/>
      </w:pPr>
      <w:r>
        <w:t>(d) Is harmless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Binds haemoglobin 200-250× more avidly than oxygen</w:t>
      </w:r>
    </w:p>
    <w:p>
      <w:pPr>
        <w:spacing w:after="200" w:line="276" w:lineRule="auto"/>
      </w:pPr>
      <w:r>
        <w:t>🧠 Clinical Rationale: CO displaces O2 from haemoglobin; treat with 100% oxygen (shortens CO half-life).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Blocks calcium channels — does not match the characteristic feature/management described in the stem</w:t>
      </w:r>
    </w:p>
    <w:p>
      <w:pPr>
        <w:spacing w:after="200" w:line="276" w:lineRule="auto"/>
      </w:pPr>
      <w:r>
        <w:t>C. Raises oxygen levels — does not match the characteristic feature/management described in the stem</w:t>
      </w:r>
    </w:p>
    <w:p>
      <w:pPr>
        <w:spacing w:after="200" w:line="276" w:lineRule="auto"/>
      </w:pPr>
      <w:r>
        <w:t>D. Is harmless — does not match the characteristic feature/management described in the stem</w:t>
      </w:r>
    </w:p>
    <w:p>
      <w:pPr>
        <w:spacing w:after="200" w:line="276" w:lineRule="auto"/>
      </w:pPr>
      <w:r>
        <w:t>⚠️ Exam Trap: Pulse oximetry cannot detect CO poisoning (carboxyhaemoglobin looks like oxyhaemoglobin) — treat with 100% O2 regardless of SpO₂.</w:t>
      </w:r>
    </w:p>
    <w:p>
      <w:pPr>
        <w:spacing w:after="200" w:line="276" w:lineRule="auto"/>
      </w:pPr>
      <w:r>
        <w:t>💎 PNC Pearl: CO poisoning: give 100% oxygen (or hyperbaric) — pulse oximetry reads falsely NORMAL despite severe hypoxia.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 poisoning</w:t>
      </w:r>
    </w:p>
    <w:p>
      <w:pPr>
        <w:spacing w:after="200" w:line="276" w:lineRule="auto"/>
      </w:pPr>
      <w:r>
        <w:t>→ Source: smoke inhalation, faulty heaters, car exhaust</w:t>
      </w:r>
    </w:p>
    <w:p>
      <w:pPr>
        <w:spacing w:after="200" w:line="276" w:lineRule="auto"/>
      </w:pPr>
      <w:r>
        <w:t>→ Clues: headache, nausea, confusion — 'cherry red' skin is unreliable</w:t>
      </w:r>
    </w:p>
    <w:p>
      <w:pPr>
        <w:spacing w:after="200" w:line="276" w:lineRule="auto"/>
      </w:pPr>
      <w:r>
        <w:t>→ Diagnosis: carboxyhaemoglobin level</w:t>
      </w:r>
    </w:p>
    <w:p>
      <w:pPr>
        <w:spacing w:after="200" w:line="276" w:lineRule="auto"/>
      </w:pPr>
      <w:r>
        <w:t>→ Treatment: 100% O2 (hyperbaric for severe/pregnant); monitor neuro sequelae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Persistent lactic acidosis and hypotension after smoke inhalation despite oxygen suggests</w:t>
      </w:r>
    </w:p>
    <w:p>
      <w:pPr>
        <w:spacing w:after="200" w:line="276" w:lineRule="auto"/>
      </w:pPr>
      <w:r>
        <w:t>(a) Full recovery</w:t>
      </w:r>
    </w:p>
    <w:p>
      <w:pPr>
        <w:spacing w:after="200" w:line="276" w:lineRule="auto"/>
      </w:pPr>
      <w:r>
        <w:t>(b) Simple fatigue</w:t>
      </w:r>
    </w:p>
    <w:p>
      <w:pPr>
        <w:spacing w:after="200" w:line="276" w:lineRule="auto"/>
      </w:pPr>
      <w:r>
        <w:t>(c) Cyanide poisoning — consider hydroxocobalamin</w:t>
      </w:r>
    </w:p>
    <w:p>
      <w:pPr>
        <w:spacing w:after="200" w:line="276" w:lineRule="auto"/>
      </w:pPr>
      <w:r>
        <w:t>(d) Dehydration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Cyanide poisoning — consider hydroxocobalamin</w:t>
      </w:r>
    </w:p>
    <w:p>
      <w:pPr>
        <w:spacing w:after="200" w:line="276" w:lineRule="auto"/>
      </w:pPr>
      <w:r>
        <w:t>🧠 Clinical Rationale: Combustion of plastics releases cyanide — hydroxocobalamin/sodium thiosulphate are antidotes.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Full recovery — does not match the characteristic feature/management described in the stem</w:t>
      </w:r>
    </w:p>
    <w:p>
      <w:pPr>
        <w:spacing w:after="200" w:line="276" w:lineRule="auto"/>
      </w:pPr>
      <w:r>
        <w:t>B. Simple fatigue — does not match the characteristic feature/management described in the stem</w:t>
      </w:r>
    </w:p>
    <w:p>
      <w:pPr>
        <w:spacing w:after="200" w:line="276" w:lineRule="auto"/>
      </w:pPr>
      <w:r>
        <w:t>D. Dehydration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Circumferential full-thickness burns of a limb may require escharotomy to</w:t>
      </w:r>
    </w:p>
    <w:p>
      <w:pPr>
        <w:spacing w:after="200" w:line="276" w:lineRule="auto"/>
      </w:pPr>
      <w:r>
        <w:t>(a) Reduce pain</w:t>
      </w:r>
    </w:p>
    <w:p>
      <w:pPr>
        <w:spacing w:after="200" w:line="276" w:lineRule="auto"/>
      </w:pPr>
      <w:r>
        <w:t>(b) Improve cosmesis</w:t>
      </w:r>
    </w:p>
    <w:p>
      <w:pPr>
        <w:spacing w:after="200" w:line="276" w:lineRule="auto"/>
      </w:pPr>
      <w:r>
        <w:t>(c) Relieve pressure and restore distal circulation</w:t>
      </w:r>
    </w:p>
    <w:p>
      <w:pPr>
        <w:spacing w:after="200" w:line="276" w:lineRule="auto"/>
      </w:pPr>
      <w:r>
        <w:t>(d) Prevent infection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Relieve pressure and restore distal circulation</w:t>
      </w:r>
    </w:p>
    <w:p>
      <w:pPr>
        <w:spacing w:after="200" w:line="276" w:lineRule="auto"/>
      </w:pPr>
      <w:r>
        <w:t>🧠 Clinical Rationale: Constricting eschar impairs perfusion — surgical division (escharotomy) prevents compartment syndrome.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pain — does not match the characteristic feature/management described in the stem</w:t>
      </w:r>
    </w:p>
    <w:p>
      <w:pPr>
        <w:spacing w:after="200" w:line="276" w:lineRule="auto"/>
      </w:pPr>
      <w:r>
        <w:t>B. Improve cosmesis — does not match the characteristic feature/management described in the stem</w:t>
      </w:r>
    </w:p>
    <w:p>
      <w:pPr>
        <w:spacing w:after="200" w:line="276" w:lineRule="auto"/>
      </w:pPr>
      <w:r>
        <w:t>D. Prevent infection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leading cause of late death in burn patients is</w:t>
      </w:r>
    </w:p>
    <w:p>
      <w:pPr>
        <w:spacing w:after="200" w:line="276" w:lineRule="auto"/>
      </w:pPr>
      <w:r>
        <w:t>(a) Pain</w:t>
      </w:r>
    </w:p>
    <w:p>
      <w:pPr>
        <w:spacing w:after="200" w:line="276" w:lineRule="auto"/>
      </w:pPr>
      <w:r>
        <w:t>(b) Sepsis/infection</w:t>
      </w:r>
    </w:p>
    <w:p>
      <w:pPr>
        <w:spacing w:after="200" w:line="276" w:lineRule="auto"/>
      </w:pPr>
      <w:r>
        <w:t>(c) Scarring</w:t>
      </w:r>
    </w:p>
    <w:p>
      <w:pPr>
        <w:spacing w:after="200" w:line="276" w:lineRule="auto"/>
      </w:pPr>
      <w:r>
        <w:t>(d) Anaemia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Sepsis/infection</w:t>
      </w:r>
    </w:p>
    <w:p>
      <w:pPr>
        <w:spacing w:after="200" w:line="276" w:lineRule="auto"/>
      </w:pPr>
      <w:r>
        <w:t>🧠 Clinical Rationale: Infection (wound sepsis, pneumonia) is the major cause of late burn mortality — strict asepsis.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 — does not match the characteristic feature/management described in the stem</w:t>
      </w:r>
    </w:p>
    <w:p>
      <w:pPr>
        <w:spacing w:after="200" w:line="276" w:lineRule="auto"/>
      </w:pPr>
      <w:r>
        <w:t>C. Scarring — does not match the characteristic feature/management described in the stem</w:t>
      </w:r>
    </w:p>
    <w:p>
      <w:pPr>
        <w:spacing w:after="200" w:line="276" w:lineRule="auto"/>
      </w:pPr>
      <w:r>
        <w:t>D. Anaemia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Silver sulphadiazine cream is applied to burn wounds to</w:t>
      </w:r>
    </w:p>
    <w:p>
      <w:pPr>
        <w:spacing w:after="200" w:line="276" w:lineRule="auto"/>
      </w:pPr>
      <w:r>
        <w:t>(a) Reduce itching</w:t>
      </w:r>
    </w:p>
    <w:p>
      <w:pPr>
        <w:spacing w:after="200" w:line="276" w:lineRule="auto"/>
      </w:pPr>
      <w:r>
        <w:t>(b) Dye the skin</w:t>
      </w:r>
    </w:p>
    <w:p>
      <w:pPr>
        <w:spacing w:after="200" w:line="276" w:lineRule="auto"/>
      </w:pPr>
      <w:r>
        <w:t>(c) Stop bleeding</w:t>
      </w:r>
    </w:p>
    <w:p>
      <w:pPr>
        <w:spacing w:after="200" w:line="276" w:lineRule="auto"/>
      </w:pPr>
      <w:r>
        <w:t>(d) Provide topical antimicrobial cover against bacteria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Provide topical antimicrobial cover against bacteria</w:t>
      </w:r>
    </w:p>
    <w:p>
      <w:pPr>
        <w:spacing w:after="200" w:line="276" w:lineRule="auto"/>
      </w:pPr>
      <w:r>
        <w:t>🧠 Clinical Rationale: SSD is a broad-spectrum topical antimicrobial; avoid on face (sulphonamide allergy caution).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itching — not the correct drug/class for this indication</w:t>
      </w:r>
    </w:p>
    <w:p>
      <w:pPr>
        <w:spacing w:after="200" w:line="276" w:lineRule="auto"/>
      </w:pPr>
      <w:r>
        <w:t>B. Dye the skin — not the correct drug/class for this indication</w:t>
      </w:r>
    </w:p>
    <w:p>
      <w:pPr>
        <w:spacing w:after="200" w:line="276" w:lineRule="auto"/>
      </w:pPr>
      <w:r>
        <w:t>C. Stop bleeding — not the correct drug/class for this indication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Burn wounds are cleaned with</w:t>
      </w:r>
    </w:p>
    <w:p>
      <w:pPr>
        <w:spacing w:after="200" w:line="276" w:lineRule="auto"/>
      </w:pPr>
      <w:r>
        <w:t>(a) Antiseptic scrubbing with brushes</w:t>
      </w:r>
    </w:p>
    <w:p>
      <w:pPr>
        <w:spacing w:after="200" w:line="276" w:lineRule="auto"/>
      </w:pPr>
      <w:r>
        <w:t>(b) Alcohol swabs</w:t>
      </w:r>
    </w:p>
    <w:p>
      <w:pPr>
        <w:spacing w:after="200" w:line="276" w:lineRule="auto"/>
      </w:pPr>
      <w:r>
        <w:t>(c) Dry brushing</w:t>
      </w:r>
    </w:p>
    <w:p>
      <w:pPr>
        <w:spacing w:after="200" w:line="276" w:lineRule="auto"/>
      </w:pPr>
      <w:r>
        <w:t>(d) Mild soap and water or saline with gentle debridement of dead tissue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Mild soap and water or saline with gentle debridement of dead tissue</w:t>
      </w:r>
    </w:p>
    <w:p>
      <w:pPr>
        <w:spacing w:after="200" w:line="276" w:lineRule="auto"/>
      </w:pPr>
      <w:r>
        <w:t>🧠 Clinical Rationale: Gentle cleansing with saline/soap and removal of slough prevents infection without injuring viable tissue.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Antiseptic scrubbing with brushes — does not match the characteristic feature/management described in the stem</w:t>
      </w:r>
    </w:p>
    <w:p>
      <w:pPr>
        <w:spacing w:after="200" w:line="276" w:lineRule="auto"/>
      </w:pPr>
      <w:r>
        <w:t>B. Alcohol swabs — does not match the characteristic feature/management described in the stem</w:t>
      </w:r>
    </w:p>
    <w:p>
      <w:pPr>
        <w:spacing w:after="200" w:line="276" w:lineRule="auto"/>
      </w:pPr>
      <w:r>
        <w:t>C. Dry brushing — does not match the characteristic feature/management described in the stem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Burn patients have dramatically increased caloric needs mainly due to</w:t>
      </w:r>
    </w:p>
    <w:p>
      <w:pPr>
        <w:spacing w:after="200" w:line="276" w:lineRule="auto"/>
      </w:pPr>
      <w:r>
        <w:t>(a) Resting state</w:t>
      </w:r>
    </w:p>
    <w:p>
      <w:pPr>
        <w:spacing w:after="200" w:line="276" w:lineRule="auto"/>
      </w:pPr>
      <w:r>
        <w:t>(b) Low metabolism</w:t>
      </w:r>
    </w:p>
    <w:p>
      <w:pPr>
        <w:spacing w:after="200" w:line="276" w:lineRule="auto"/>
      </w:pPr>
      <w:r>
        <w:t>(c) Hypermetabolism — high-protein, high-calorie diet with early enteral feeding</w:t>
      </w:r>
    </w:p>
    <w:p>
      <w:pPr>
        <w:spacing w:after="200" w:line="276" w:lineRule="auto"/>
      </w:pPr>
      <w:r>
        <w:t>(d) Decreased appetite physiology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Hypermetabolism — high-protein, high-calorie diet with early enteral feeding</w:t>
      </w:r>
    </w:p>
    <w:p>
      <w:pPr>
        <w:spacing w:after="200" w:line="276" w:lineRule="auto"/>
      </w:pPr>
      <w:r>
        <w:t>🧠 Clinical Rationale: Severe burns double resting energy expenditure — aggressive nutrition supports healing and immunity.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Resting state — does not match the characteristic feature/management described in the stem</w:t>
      </w:r>
    </w:p>
    <w:p>
      <w:pPr>
        <w:spacing w:after="200" w:line="276" w:lineRule="auto"/>
      </w:pPr>
      <w:r>
        <w:t>B. Low metabolism — does not match the characteristic feature/management described in the stem</w:t>
      </w:r>
    </w:p>
    <w:p>
      <w:pPr>
        <w:spacing w:after="200" w:line="276" w:lineRule="auto"/>
      </w:pPr>
      <w:r>
        <w:t>D. Decreased appetite physiology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split-thickness skin graft consists of</w:t>
      </w:r>
    </w:p>
    <w:p>
      <w:pPr>
        <w:spacing w:after="200" w:line="276" w:lineRule="auto"/>
      </w:pPr>
      <w:r>
        <w:t>(a) Full dermis and fat</w:t>
      </w:r>
    </w:p>
    <w:p>
      <w:pPr>
        <w:spacing w:after="200" w:line="276" w:lineRule="auto"/>
      </w:pPr>
      <w:r>
        <w:t>(b) Only fat</w:t>
      </w:r>
    </w:p>
    <w:p>
      <w:pPr>
        <w:spacing w:after="200" w:line="276" w:lineRule="auto"/>
      </w:pPr>
      <w:r>
        <w:t>(c) Epidermis and part of the dermis</w:t>
      </w:r>
    </w:p>
    <w:p>
      <w:pPr>
        <w:spacing w:after="200" w:line="276" w:lineRule="auto"/>
      </w:pPr>
      <w:r>
        <w:t>(d) Muscle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Epidermis and part of the dermis</w:t>
      </w:r>
    </w:p>
    <w:p>
      <w:pPr>
        <w:spacing w:after="200" w:line="276" w:lineRule="auto"/>
      </w:pPr>
      <w:r>
        <w:t>🧠 Clinical Rationale: STSG (thin/medium) takes well and is used for burns; full-thickness grafts are for cosmetic areas.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Full dermis and fat — a related concept, but it does not match the defining feature asked</w:t>
      </w:r>
    </w:p>
    <w:p>
      <w:pPr>
        <w:spacing w:after="200" w:line="276" w:lineRule="auto"/>
      </w:pPr>
      <w:r>
        <w:t>B. Only fat — a related concept, but it does not match the defining feature asked</w:t>
      </w:r>
    </w:p>
    <w:p>
      <w:pPr>
        <w:spacing w:after="200" w:line="276" w:lineRule="auto"/>
      </w:pPr>
      <w:r>
        <w:t>D. Muscle — a related concept, but it does not match the defining feature asked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Post-graft care includes</w:t>
      </w:r>
    </w:p>
    <w:p>
      <w:pPr>
        <w:spacing w:after="200" w:line="276" w:lineRule="auto"/>
      </w:pPr>
      <w:r>
        <w:t>(a) Removing the graft daily</w:t>
      </w:r>
    </w:p>
    <w:p>
      <w:pPr>
        <w:spacing w:after="200" w:line="276" w:lineRule="auto"/>
      </w:pPr>
      <w:r>
        <w:t>(b) Immobilising the graft site and monitoring for take (adherence, colour)</w:t>
      </w:r>
    </w:p>
    <w:p>
      <w:pPr>
        <w:spacing w:after="200" w:line="276" w:lineRule="auto"/>
      </w:pPr>
      <w:r>
        <w:t>(c) Massaging the graft</w:t>
      </w:r>
    </w:p>
    <w:p>
      <w:pPr>
        <w:spacing w:after="200" w:line="276" w:lineRule="auto"/>
      </w:pPr>
      <w:r>
        <w:t>(d) Exposing to sun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Immobilising the graft site and monitoring for take (adherence, colour)</w:t>
      </w:r>
    </w:p>
    <w:p>
      <w:pPr>
        <w:spacing w:after="200" w:line="276" w:lineRule="auto"/>
      </w:pPr>
      <w:r>
        <w:t>🧠 Clinical Rationale: Grafts need immobility, no pressure, and observation for haematoma/seroma/infection.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Removing the graft daily — does not match the characteristic feature/management described in the stem</w:t>
      </w:r>
    </w:p>
    <w:p>
      <w:pPr>
        <w:spacing w:after="200" w:line="276" w:lineRule="auto"/>
      </w:pPr>
      <w:r>
        <w:t>C. Massaging the graft — does not match the characteristic feature/management described in the stem</w:t>
      </w:r>
    </w:p>
    <w:p>
      <w:pPr>
        <w:spacing w:after="200" w:line="276" w:lineRule="auto"/>
      </w:pPr>
      <w:r>
        <w:t>D. Exposing to sun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burn wound care, pain is best managed by</w:t>
      </w:r>
    </w:p>
    <w:p>
      <w:pPr>
        <w:spacing w:after="200" w:line="276" w:lineRule="auto"/>
      </w:pPr>
      <w:r>
        <w:t>(a) No analgesia</w:t>
      </w:r>
    </w:p>
    <w:p>
      <w:pPr>
        <w:spacing w:after="200" w:line="276" w:lineRule="auto"/>
      </w:pPr>
      <w:r>
        <w:t>(b) Premedicating with IV opioids before dressing changes and using distraction</w:t>
      </w:r>
    </w:p>
    <w:p>
      <w:pPr>
        <w:spacing w:after="200" w:line="276" w:lineRule="auto"/>
      </w:pPr>
      <w:r>
        <w:t>(c) Oral water</w:t>
      </w:r>
    </w:p>
    <w:p>
      <w:pPr>
        <w:spacing w:after="200" w:line="276" w:lineRule="auto"/>
      </w:pPr>
      <w:r>
        <w:t>(d) Cold exposure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Premedicating with IV opioids before dressing changes and using distraction</w:t>
      </w:r>
    </w:p>
    <w:p>
      <w:pPr>
        <w:spacing w:after="200" w:line="276" w:lineRule="auto"/>
      </w:pPr>
      <w:r>
        <w:t>🧠 Clinical Rationale: Procedural analgesia (opioids, short-acting agents) before and during dressing changes reduces suffering.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Burn - Pain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Premedicating with IV opioids before dressing changes and using distraction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analgesia — does not address the immediate life-threatening problem (ABC comes first)</w:t>
      </w:r>
    </w:p>
    <w:p>
      <w:pPr>
        <w:spacing w:after="200" w:line="276" w:lineRule="auto"/>
      </w:pPr>
      <w:r>
        <w:t>C. Oral water — does not address the immediate life-threatening problem (ABC comes first)</w:t>
      </w:r>
    </w:p>
    <w:p>
      <w:pPr>
        <w:spacing w:after="200" w:line="276" w:lineRule="auto"/>
      </w:pPr>
      <w:r>
        <w:t>D. Cold exposure — does not address the immediate life-threatening problem (ABC comes first)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joint contractures after burns, the nurse should</w:t>
      </w:r>
    </w:p>
    <w:p>
      <w:pPr>
        <w:spacing w:after="200" w:line="276" w:lineRule="auto"/>
      </w:pPr>
      <w:r>
        <w:t>(a) Position joints in functional/anti-deformity positions and start range-of-motion exercises</w:t>
      </w:r>
    </w:p>
    <w:p>
      <w:pPr>
        <w:spacing w:after="200" w:line="276" w:lineRule="auto"/>
      </w:pPr>
      <w:r>
        <w:t>(b) Keep joints flexed tightly</w:t>
      </w:r>
    </w:p>
    <w:p>
      <w:pPr>
        <w:spacing w:after="200" w:line="276" w:lineRule="auto"/>
      </w:pPr>
      <w:r>
        <w:t>(c) Immobilise completely</w:t>
      </w:r>
    </w:p>
    <w:p>
      <w:pPr>
        <w:spacing w:after="200" w:line="276" w:lineRule="auto"/>
      </w:pPr>
      <w:r>
        <w:t>(d) Avoid movement for months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Position joints in functional/anti-deformity positions and start range-of-motion exercises</w:t>
      </w:r>
    </w:p>
    <w:p>
      <w:pPr>
        <w:spacing w:after="200" w:line="276" w:lineRule="auto"/>
      </w:pPr>
      <w:r>
        <w:t>🧠 Clinical Rationale: Splinting in functional positions plus active/passive ROM prevents scar contracture.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Keep joints flexed tightly — does not match the characteristic feature/management described in the stem</w:t>
      </w:r>
    </w:p>
    <w:p>
      <w:pPr>
        <w:spacing w:after="200" w:line="276" w:lineRule="auto"/>
      </w:pPr>
      <w:r>
        <w:t>C. Immobilise completely — does not match the characteristic feature/management described in the stem</w:t>
      </w:r>
    </w:p>
    <w:p>
      <w:pPr>
        <w:spacing w:after="200" w:line="276" w:lineRule="auto"/>
      </w:pPr>
      <w:r>
        <w:t>D. Avoid movement for months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 aid for a chemical burn includes</w:t>
      </w:r>
    </w:p>
    <w:p>
      <w:pPr>
        <w:spacing w:after="200" w:line="276" w:lineRule="auto"/>
      </w:pPr>
      <w:r>
        <w:t>(a) Neutralising with acid/base solutions</w:t>
      </w:r>
    </w:p>
    <w:p>
      <w:pPr>
        <w:spacing w:after="200" w:line="276" w:lineRule="auto"/>
      </w:pPr>
      <w:r>
        <w:t>(b) Applying ointment first</w:t>
      </w:r>
    </w:p>
    <w:p>
      <w:pPr>
        <w:spacing w:after="200" w:line="276" w:lineRule="auto"/>
      </w:pPr>
      <w:r>
        <w:t>(c) Brushing off dry chemicals and copious irrigation with water for 15-20 minutes</w:t>
      </w:r>
    </w:p>
    <w:p>
      <w:pPr>
        <w:spacing w:after="200" w:line="276" w:lineRule="auto"/>
      </w:pPr>
      <w:r>
        <w:t>(d) Wiping with dry cloth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Brushing off dry chemicals and copious irrigation with water for 15-20 minutes</w:t>
      </w:r>
    </w:p>
    <w:p>
      <w:pPr>
        <w:spacing w:after="200" w:line="276" w:lineRule="auto"/>
      </w:pPr>
      <w:r>
        <w:t>🧠 Clinical Rationale: Copious water irrigation dilutes and removes the agent; never neutralise (heat reaction).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Neutralising with acid/base solutions — would be appropriate in a different situation, not this one</w:t>
      </w:r>
    </w:p>
    <w:p>
      <w:pPr>
        <w:spacing w:after="200" w:line="276" w:lineRule="auto"/>
      </w:pPr>
      <w:r>
        <w:t>B. Applying ointment first — would be appropriate in a different situation, not this one</w:t>
      </w:r>
    </w:p>
    <w:p>
      <w:pPr>
        <w:spacing w:after="200" w:line="276" w:lineRule="auto"/>
      </w:pPr>
      <w:r>
        <w:t>D. Wiping with dry cloth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tar/bitumen burn, the nurse should</w:t>
      </w:r>
    </w:p>
    <w:p>
      <w:pPr>
        <w:spacing w:after="200" w:line="276" w:lineRule="auto"/>
      </w:pPr>
      <w:r>
        <w:t>(a) Peel the tar off</w:t>
      </w:r>
    </w:p>
    <w:p>
      <w:pPr>
        <w:spacing w:after="200" w:line="276" w:lineRule="auto"/>
      </w:pPr>
      <w:r>
        <w:t>(b) Apply ice directly</w:t>
      </w:r>
    </w:p>
    <w:p>
      <w:pPr>
        <w:spacing w:after="200" w:line="276" w:lineRule="auto"/>
      </w:pPr>
      <w:r>
        <w:t>(c) Scrub hard</w:t>
      </w:r>
    </w:p>
    <w:p>
      <w:pPr>
        <w:spacing w:after="200" w:line="276" w:lineRule="auto"/>
      </w:pPr>
      <w:r>
        <w:t>(d) Cool with water then remove tar with mineral oil/petroleum jelly (never peel)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Cool with water then remove tar with mineral oil/petroleum jelly (never peel)</w:t>
      </w:r>
    </w:p>
    <w:p>
      <w:pPr>
        <w:spacing w:after="200" w:line="276" w:lineRule="auto"/>
      </w:pPr>
      <w:r>
        <w:t>🧠 Clinical Rationale: Cool first, then dissolve tar with oil-based agents; peeling removes skin.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Peel the tar off — would be appropriate in a different situation, not this one</w:t>
      </w:r>
    </w:p>
    <w:p>
      <w:pPr>
        <w:spacing w:after="200" w:line="276" w:lineRule="auto"/>
      </w:pPr>
      <w:r>
        <w:t>B. Apply ice directly — would be appropriate in a different situation, not this one</w:t>
      </w:r>
    </w:p>
    <w:p>
      <w:pPr>
        <w:spacing w:after="200" w:line="276" w:lineRule="auto"/>
      </w:pPr>
      <w:r>
        <w:t>C. Scrub hard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