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 a standard 12-lead ECG, lead V1 is placed</w:t>
      </w:r>
    </w:p>
    <w:p>
      <w:pPr>
        <w:spacing w:after="200" w:line="276" w:lineRule="auto"/>
      </w:pPr>
      <w:r>
        <w:t>(a) At the left midclavicular line 5th ICS</w:t>
      </w:r>
    </w:p>
    <w:p>
      <w:pPr>
        <w:spacing w:after="200" w:line="276" w:lineRule="auto"/>
      </w:pPr>
      <w:r>
        <w:t>(b) At the 4th intercostal space, right sternal border</w:t>
      </w:r>
    </w:p>
    <w:p>
      <w:pPr>
        <w:spacing w:after="200" w:line="276" w:lineRule="auto"/>
      </w:pPr>
      <w:r>
        <w:t>(c) On the back</w:t>
      </w:r>
    </w:p>
    <w:p>
      <w:pPr>
        <w:spacing w:after="200" w:line="276" w:lineRule="auto"/>
      </w:pPr>
      <w:r>
        <w:t>(d) On the right foot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At the 4th intercostal space, right sternal border</w:t>
      </w:r>
    </w:p>
    <w:p>
      <w:pPr>
        <w:spacing w:after="200" w:line="276" w:lineRule="auto"/>
      </w:pPr>
      <w:r>
        <w:t>🧠 Clinical Rationale: V1: 4th ICS right sternal edge; V2: 4th ICS left sternal edge; V4: 5th ICS midclavicular.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the left midclavicular line 5th ICS — plausible, but not the single most accurate fact asked</w:t>
      </w:r>
    </w:p>
    <w:p>
      <w:pPr>
        <w:spacing w:after="200" w:line="276" w:lineRule="auto"/>
      </w:pPr>
      <w:r>
        <w:t>C. On the back — plausible, but not the single most accurate fact asked</w:t>
      </w:r>
    </w:p>
    <w:p>
      <w:pPr>
        <w:spacing w:after="200" w:line="276" w:lineRule="auto"/>
      </w:pPr>
      <w:r>
        <w:t>D. On the right foot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ST-segment elevation in contiguous leads suggests</w:t>
      </w:r>
    </w:p>
    <w:p>
      <w:pPr>
        <w:spacing w:after="200" w:line="276" w:lineRule="auto"/>
      </w:pPr>
      <w:r>
        <w:t>(a) Normal variant always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Acute STEMI — activate the cath lab</w:t>
      </w:r>
    </w:p>
    <w:p>
      <w:pPr>
        <w:spacing w:after="200" w:line="276" w:lineRule="auto"/>
      </w:pPr>
      <w:r>
        <w:t>(d) First-degree block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STEMI — activate the cath lab</w:t>
      </w:r>
    </w:p>
    <w:p>
      <w:pPr>
        <w:spacing w:after="200" w:line="276" w:lineRule="auto"/>
      </w:pPr>
      <w:r>
        <w:t>🧠 Clinical Rationale: STE in ≥2 contiguous leads = acute coronary occlusion; time to reperfusion matters.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variant always — does not match the characteristic feature/management described in the stem</w:t>
      </w:r>
    </w:p>
    <w:p>
      <w:pPr>
        <w:spacing w:after="200" w:line="276" w:lineRule="auto"/>
      </w:pPr>
      <w:r>
        <w:t>B. Hyperkalaemia — does not match the characteristic feature/management described in the stem</w:t>
      </w:r>
    </w:p>
    <w:p>
      <w:pPr>
        <w:spacing w:after="200" w:line="276" w:lineRule="auto"/>
      </w:pPr>
      <w:r>
        <w:t>D. First-degree block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ECG changes of hyperkalaemia progress as</w:t>
      </w:r>
    </w:p>
    <w:p>
      <w:pPr>
        <w:spacing w:after="200" w:line="276" w:lineRule="auto"/>
      </w:pPr>
      <w:r>
        <w:t>(a) Tall peaked T waves → wide QRS → sine wave → VF/asystole</w:t>
      </w:r>
    </w:p>
    <w:p>
      <w:pPr>
        <w:spacing w:after="200" w:line="276" w:lineRule="auto"/>
      </w:pPr>
      <w:r>
        <w:t>(b) Flattened T waves</w:t>
      </w:r>
    </w:p>
    <w:p>
      <w:pPr>
        <w:spacing w:after="200" w:line="276" w:lineRule="auto"/>
      </w:pPr>
      <w:r>
        <w:t>(c) Long QT only</w:t>
      </w:r>
    </w:p>
    <w:p>
      <w:pPr>
        <w:spacing w:after="200" w:line="276" w:lineRule="auto"/>
      </w:pPr>
      <w:r>
        <w:t>(d) ST depression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Tall peaked T waves → wide QRS → sine wave → VF/asystole</w:t>
      </w:r>
    </w:p>
    <w:p>
      <w:pPr>
        <w:spacing w:after="200" w:line="276" w:lineRule="auto"/>
      </w:pPr>
      <w:r>
        <w:t>🧠 Clinical Rationale: Peaked T waves are early; treat hyperkalaemia before QRS widens.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Flattened T waves — does not match the characteristic feature/management described in the stem</w:t>
      </w:r>
    </w:p>
    <w:p>
      <w:pPr>
        <w:spacing w:after="200" w:line="276" w:lineRule="auto"/>
      </w:pPr>
      <w:r>
        <w:t>C. Long QT only — does not match the characteristic feature/management described in the stem</w:t>
      </w:r>
    </w:p>
    <w:p>
      <w:pPr>
        <w:spacing w:after="200" w:line="276" w:lineRule="auto"/>
      </w:pPr>
      <w:r>
        <w:t>D. ST depression only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Hypocalcaemia typically causes on ECG</w:t>
      </w:r>
    </w:p>
    <w:p>
      <w:pPr>
        <w:spacing w:after="200" w:line="276" w:lineRule="auto"/>
      </w:pPr>
      <w:r>
        <w:t>(a) Peaked T waves</w:t>
      </w:r>
    </w:p>
    <w:p>
      <w:pPr>
        <w:spacing w:after="200" w:line="276" w:lineRule="auto"/>
      </w:pPr>
      <w:r>
        <w:t>(b) Short PR</w:t>
      </w:r>
    </w:p>
    <w:p>
      <w:pPr>
        <w:spacing w:after="200" w:line="276" w:lineRule="auto"/>
      </w:pPr>
      <w:r>
        <w:t>(c) Prolonged QT interval</w:t>
      </w:r>
    </w:p>
    <w:p>
      <w:pPr>
        <w:spacing w:after="200" w:line="276" w:lineRule="auto"/>
      </w:pPr>
      <w:r>
        <w:t>(d) Tall QRS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Prolonged QT interval</w:t>
      </w:r>
    </w:p>
    <w:p>
      <w:pPr>
        <w:spacing w:after="200" w:line="276" w:lineRule="auto"/>
      </w:pPr>
      <w:r>
        <w:t>🧠 Clinical Rationale: Low calcium lengthens the ST segment and QT interval.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Peaked T waves — does not match the characteristic feature/management described in the stem</w:t>
      </w:r>
    </w:p>
    <w:p>
      <w:pPr>
        <w:spacing w:after="200" w:line="276" w:lineRule="auto"/>
      </w:pPr>
      <w:r>
        <w:t>B. Short PR — does not match the characteristic feature/management described in the stem</w:t>
      </w:r>
    </w:p>
    <w:p>
      <w:pPr>
        <w:spacing w:after="200" w:line="276" w:lineRule="auto"/>
      </w:pPr>
      <w:r>
        <w:t>D. Tall QRS — does not match the characteristic feature/management described in the stem</w:t>
      </w:r>
    </w:p>
    <w:p>
      <w:pPr>
        <w:spacing w:after="200" w:line="276" w:lineRule="auto"/>
      </w:pPr>
      <w:r>
        <w:t>⚠️ Exam Trap: Chvostek = tapping the facial nerve causes twitch; Trousseau = BP-cuff carpal spasm — both point to hypocalcaemia, the classic pair.</w:t>
      </w:r>
    </w:p>
    <w:p>
      <w:pPr>
        <w:spacing w:after="200" w:line="276" w:lineRule="auto"/>
      </w:pPr>
      <w:r>
        <w:t>💎 PNC Pearl: Hypocalcaemia: Chvostek's sign (facial twitch) and Trousseau's sign (carpal spasm) — emergency is laryngospasm/tetany; give IV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Hypocalcaemia</w:t>
      </w:r>
    </w:p>
    <w:p>
      <w:pPr>
        <w:spacing w:after="200" w:line="276" w:lineRule="auto"/>
      </w:pPr>
      <w:r>
        <w:t>→ Signs: tetany, Chvostek/Trousseau signs, paraesthesia, laryngospasm</w:t>
      </w:r>
    </w:p>
    <w:p>
      <w:pPr>
        <w:spacing w:after="200" w:line="276" w:lineRule="auto"/>
      </w:pPr>
      <w:r>
        <w:t>→ Causes: hypoparathyroidism, renal failure, pancreatitis, massive transfusion</w:t>
      </w:r>
    </w:p>
    <w:p>
      <w:pPr>
        <w:spacing w:after="200" w:line="276" w:lineRule="auto"/>
      </w:pPr>
      <w:r>
        <w:t>→ Treatment: IV calcium gluconate (watch extravasation — tissue necrosis)</w:t>
      </w:r>
    </w:p>
    <w:p>
      <w:pPr>
        <w:spacing w:after="200" w:line="276" w:lineRule="auto"/>
      </w:pPr>
      <w:r>
        <w:t>→ ECG: prolonged QT; avoid rapid administration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coronary syndromes include</w:t>
      </w:r>
    </w:p>
    <w:p>
      <w:pPr>
        <w:spacing w:after="200" w:line="276" w:lineRule="auto"/>
      </w:pPr>
      <w:r>
        <w:t>(a) Only stable angina</w:t>
      </w:r>
    </w:p>
    <w:p>
      <w:pPr>
        <w:spacing w:after="200" w:line="276" w:lineRule="auto"/>
      </w:pPr>
      <w:r>
        <w:t>(b) Heart failure</w:t>
      </w:r>
    </w:p>
    <w:p>
      <w:pPr>
        <w:spacing w:after="200" w:line="276" w:lineRule="auto"/>
      </w:pPr>
      <w:r>
        <w:t>(c) STEMI, NSTEMI and unstable angina</w:t>
      </w:r>
    </w:p>
    <w:p>
      <w:pPr>
        <w:spacing w:after="200" w:line="276" w:lineRule="auto"/>
      </w:pPr>
      <w:r>
        <w:t>(d) Valve disease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STEMI, NSTEMI and unstable angina</w:t>
      </w:r>
    </w:p>
    <w:p>
      <w:pPr>
        <w:spacing w:after="200" w:line="276" w:lineRule="auto"/>
      </w:pPr>
      <w:r>
        <w:t>🧠 Clinical Rationale: ACS: STEMI (occlusive), NSTEMI (partial/subendocardial), unstable angina (no enzyme rise).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stable angina — a related concept, but it does not match the defining feature asked</w:t>
      </w:r>
    </w:p>
    <w:p>
      <w:pPr>
        <w:spacing w:after="200" w:line="276" w:lineRule="auto"/>
      </w:pPr>
      <w:r>
        <w:t>B. Heart failure — a related concept, but it does not match the defining feature asked</w:t>
      </w:r>
    </w:p>
    <w:p>
      <w:pPr>
        <w:spacing w:after="200" w:line="276" w:lineRule="auto"/>
      </w:pPr>
      <w:r>
        <w:t>D. Valve disease — a related concept, but it does not match the defining feature asked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sensitive and specific early biomarker for myocardial necrosis is</w:t>
      </w:r>
    </w:p>
    <w:p>
      <w:pPr>
        <w:spacing w:after="200" w:line="276" w:lineRule="auto"/>
      </w:pPr>
      <w:r>
        <w:t>(a) CK-MB only</w:t>
      </w:r>
    </w:p>
    <w:p>
      <w:pPr>
        <w:spacing w:after="200" w:line="276" w:lineRule="auto"/>
      </w:pPr>
      <w:r>
        <w:t>(b) High-sensitivity cardiac troponin</w:t>
      </w:r>
    </w:p>
    <w:p>
      <w:pPr>
        <w:spacing w:after="200" w:line="276" w:lineRule="auto"/>
      </w:pPr>
      <w:r>
        <w:t>(c) LDH</w:t>
      </w:r>
    </w:p>
    <w:p>
      <w:pPr>
        <w:spacing w:after="200" w:line="276" w:lineRule="auto"/>
      </w:pPr>
      <w:r>
        <w:t>(d) CRP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High-sensitivity cardiac troponin</w:t>
      </w:r>
    </w:p>
    <w:p>
      <w:pPr>
        <w:spacing w:after="200" w:line="276" w:lineRule="auto"/>
      </w:pPr>
      <w:r>
        <w:t>🧠 Clinical Rationale: Troponin rises 2-4 h after injury and is the gold standard; serial levels guide diagnosis.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CK-MB only — plausible, but not the single most accurate fact asked</w:t>
      </w:r>
    </w:p>
    <w:p>
      <w:pPr>
        <w:spacing w:after="200" w:line="276" w:lineRule="auto"/>
      </w:pPr>
      <w:r>
        <w:t>C. LDH — plausible, but not the single most accurate fact asked</w:t>
      </w:r>
    </w:p>
    <w:p>
      <w:pPr>
        <w:spacing w:after="200" w:line="276" w:lineRule="auto"/>
      </w:pPr>
      <w:r>
        <w:t>D. CRP — plausible, but not the single most accurate fact asked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suspected MI and chest pain should receive, in order</w:t>
      </w:r>
    </w:p>
    <w:p>
      <w:pPr>
        <w:spacing w:after="200" w:line="276" w:lineRule="auto"/>
      </w:pPr>
      <w:r>
        <w:t>(a) Food first</w:t>
      </w:r>
    </w:p>
    <w:p>
      <w:pPr>
        <w:spacing w:after="200" w:line="276" w:lineRule="auto"/>
      </w:pPr>
      <w:r>
        <w:t>(b) Water first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Oxygen if SpO2 &lt;90%, aspirin, nitroglycerin, and morphine for pain (MONA-B)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Oxygen if SpO2 &lt;90%, aspirin, nitroglycerin, and morphine for pain (MONA-B)</w:t>
      </w:r>
    </w:p>
    <w:p>
      <w:pPr>
        <w:spacing w:after="200" w:line="276" w:lineRule="auto"/>
      </w:pPr>
      <w:r>
        <w:t>🧠 Clinical Rationale: MONA-B: Morphine, Oxygen (if hypoxic), Nitroglycerin, Aspirin — and beta-blockers per protocol.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 - Chest Pain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Oxygen if SpO2 &lt;90%, aspirin, nitroglycerin, and morphine for pain (MONA-B)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Food first — does not address the immediate life-threatening problem (ABC comes first)</w:t>
      </w:r>
    </w:p>
    <w:p>
      <w:pPr>
        <w:spacing w:after="200" w:line="276" w:lineRule="auto"/>
      </w:pPr>
      <w:r>
        <w:t>B. Water first — does not address the immediate life-threatening problem (ABC comes first)</w:t>
      </w:r>
    </w:p>
    <w:p>
      <w:pPr>
        <w:spacing w:after="200" w:line="276" w:lineRule="auto"/>
      </w:pPr>
      <w:r>
        <w:t>C.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preferred reperfusion for STEMI within 90 minutes of arrival is</w:t>
      </w:r>
    </w:p>
    <w:p>
      <w:pPr>
        <w:spacing w:after="200" w:line="276" w:lineRule="auto"/>
      </w:pPr>
      <w:r>
        <w:t>(a) Primary PCI (percutaneous coronary intervention)</w:t>
      </w:r>
    </w:p>
    <w:p>
      <w:pPr>
        <w:spacing w:after="200" w:line="276" w:lineRule="auto"/>
      </w:pPr>
      <w:r>
        <w:t>(b) Only medical therapy</w:t>
      </w:r>
    </w:p>
    <w:p>
      <w:pPr>
        <w:spacing w:after="200" w:line="276" w:lineRule="auto"/>
      </w:pPr>
      <w:r>
        <w:t>(c) Thrombolysis after 24 hours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Primary PCI (percutaneous coronary intervention)</w:t>
      </w:r>
    </w:p>
    <w:p>
      <w:pPr>
        <w:spacing w:after="200" w:line="276" w:lineRule="auto"/>
      </w:pPr>
      <w:r>
        <w:t>🧠 Clinical Rationale: Primary PCI within 90 min of first medical contact; thrombolysis if PCI unavailable (within 30 min).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medical therapy — does not match the characteristic feature/management described in the stem</w:t>
      </w:r>
    </w:p>
    <w:p>
      <w:pPr>
        <w:spacing w:after="200" w:line="276" w:lineRule="auto"/>
      </w:pPr>
      <w:r>
        <w:t>C. Thrombolysis after 24 hours — does not match the characteristic feature/management described in the stem</w:t>
      </w:r>
    </w:p>
    <w:p>
      <w:pPr>
        <w:spacing w:after="200" w:line="276" w:lineRule="auto"/>
      </w:pPr>
      <w:r>
        <w:t>D. No treatment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contraindication to thrombolysis is</w:t>
      </w:r>
    </w:p>
    <w:p>
      <w:pPr>
        <w:spacing w:after="200" w:line="276" w:lineRule="auto"/>
      </w:pPr>
      <w:r>
        <w:t>(a) Old age</w:t>
      </w:r>
    </w:p>
    <w:p>
      <w:pPr>
        <w:spacing w:after="200" w:line="276" w:lineRule="auto"/>
      </w:pPr>
      <w:r>
        <w:t>(b) Hypertension history</w:t>
      </w:r>
    </w:p>
    <w:p>
      <w:pPr>
        <w:spacing w:after="200" w:line="276" w:lineRule="auto"/>
      </w:pPr>
      <w:r>
        <w:t>(c) Smoking</w:t>
      </w:r>
    </w:p>
    <w:p>
      <w:pPr>
        <w:spacing w:after="200" w:line="276" w:lineRule="auto"/>
      </w:pPr>
      <w:r>
        <w:t>(d) Recent major surgery or active bleeding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Recent major surgery or active bleeding</w:t>
      </w:r>
    </w:p>
    <w:p>
      <w:pPr>
        <w:spacing w:after="200" w:line="276" w:lineRule="auto"/>
      </w:pPr>
      <w:r>
        <w:t>🧠 Clinical Rationale: Active bleeding, recent surgery/trauma, and haemorrhagic stroke history contraindicate fibrinolysis.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Old age — does not match the characteristic feature/management described in the stem</w:t>
      </w:r>
    </w:p>
    <w:p>
      <w:pPr>
        <w:spacing w:after="200" w:line="276" w:lineRule="auto"/>
      </w:pPr>
      <w:r>
        <w:t>B. Hypertension history — does not match the characteristic feature/management described in the stem</w:t>
      </w:r>
    </w:p>
    <w:p>
      <w:pPr>
        <w:spacing w:after="200" w:line="276" w:lineRule="auto"/>
      </w:pPr>
      <w:r>
        <w:t>C. Smoking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early complication of MI is</w:t>
      </w:r>
    </w:p>
    <w:p>
      <w:pPr>
        <w:spacing w:after="200" w:line="276" w:lineRule="auto"/>
      </w:pPr>
      <w:r>
        <w:t>(a) Hyperthyroidism</w:t>
      </w:r>
    </w:p>
    <w:p>
      <w:pPr>
        <w:spacing w:after="200" w:line="276" w:lineRule="auto"/>
      </w:pPr>
      <w:r>
        <w:t>(b) Fractures</w:t>
      </w:r>
    </w:p>
    <w:p>
      <w:pPr>
        <w:spacing w:after="200" w:line="276" w:lineRule="auto"/>
      </w:pPr>
      <w:r>
        <w:t>(c) Arrhythmias (especially VF) and heart failure</w:t>
      </w:r>
    </w:p>
    <w:p>
      <w:pPr>
        <w:spacing w:after="200" w:line="276" w:lineRule="auto"/>
      </w:pPr>
      <w:r>
        <w:t>(d) Anaemia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Arrhythmias (especially VF) and heart failure</w:t>
      </w:r>
    </w:p>
    <w:p>
      <w:pPr>
        <w:spacing w:after="200" w:line="276" w:lineRule="auto"/>
      </w:pPr>
      <w:r>
        <w:t>🧠 Clinical Rationale: Arrhythmias, cardiogenic shock, papillary muscle rupture, VSD, pericarditis and aneurysm complicate MI.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Hyperthyroidism — does not match the characteristic feature/management described in the stem</w:t>
      </w:r>
    </w:p>
    <w:p>
      <w:pPr>
        <w:spacing w:after="200" w:line="276" w:lineRule="auto"/>
      </w:pPr>
      <w:r>
        <w:t>B. Fractures — does not match the characteristic feature/management described in the stem</w:t>
      </w:r>
    </w:p>
    <w:p>
      <w:pPr>
        <w:spacing w:after="200" w:line="276" w:lineRule="auto"/>
      </w:pPr>
      <w:r>
        <w:t>D. Anaemia only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Cardiac rehabilitation after MI includes</w:t>
      </w:r>
    </w:p>
    <w:p>
      <w:pPr>
        <w:spacing w:after="200" w:line="276" w:lineRule="auto"/>
      </w:pPr>
      <w:r>
        <w:t>(a) Complete bed rest forever</w:t>
      </w:r>
    </w:p>
    <w:p>
      <w:pPr>
        <w:spacing w:after="200" w:line="276" w:lineRule="auto"/>
      </w:pPr>
      <w:r>
        <w:t>(b) Supervised graded exercise, risk-factor modification and education</w:t>
      </w:r>
    </w:p>
    <w:p>
      <w:pPr>
        <w:spacing w:after="200" w:line="276" w:lineRule="auto"/>
      </w:pPr>
      <w:r>
        <w:t>(c) Only medication</w:t>
      </w:r>
    </w:p>
    <w:p>
      <w:pPr>
        <w:spacing w:after="200" w:line="276" w:lineRule="auto"/>
      </w:pPr>
      <w:r>
        <w:t>(d) No follow-up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Supervised graded exercise, risk-factor modification and education</w:t>
      </w:r>
    </w:p>
    <w:p>
      <w:pPr>
        <w:spacing w:after="200" w:line="276" w:lineRule="auto"/>
      </w:pPr>
      <w:r>
        <w:t>🧠 Clinical Rationale: Rehab phases start with monitored activity; exercise improves outcomes and reduces recurrence.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Complete bed rest forever — would be appropriate in a different situation, not this one</w:t>
      </w:r>
    </w:p>
    <w:p>
      <w:pPr>
        <w:spacing w:after="200" w:line="276" w:lineRule="auto"/>
      </w:pPr>
      <w:r>
        <w:t>C. Only medication — would be appropriate in a different situation, not this one</w:t>
      </w:r>
    </w:p>
    <w:p>
      <w:pPr>
        <w:spacing w:after="200" w:line="276" w:lineRule="auto"/>
      </w:pPr>
      <w:r>
        <w:t>D. No follow-up — would be appropriate in a different situation, not this one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acute pulmonary oedema is positioned</w:t>
      </w:r>
    </w:p>
    <w:p>
      <w:pPr>
        <w:spacing w:after="200" w:line="276" w:lineRule="auto"/>
      </w:pPr>
      <w:r>
        <w:t>(a) Flat supine</w:t>
      </w:r>
    </w:p>
    <w:p>
      <w:pPr>
        <w:spacing w:after="200" w:line="276" w:lineRule="auto"/>
      </w:pPr>
      <w:r>
        <w:t>(b) Trendelenburg</w:t>
      </w:r>
    </w:p>
    <w:p>
      <w:pPr>
        <w:spacing w:after="200" w:line="276" w:lineRule="auto"/>
      </w:pPr>
      <w:r>
        <w:t>(c) Prone</w:t>
      </w:r>
    </w:p>
    <w:p>
      <w:pPr>
        <w:spacing w:after="200" w:line="276" w:lineRule="auto"/>
      </w:pPr>
      <w:r>
        <w:t>(d) High-Fowler's with legs dependent to reduce preload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High-Fowler's with legs dependent to reduce preload</w:t>
      </w:r>
    </w:p>
    <w:p>
      <w:pPr>
        <w:spacing w:after="200" w:line="276" w:lineRule="auto"/>
      </w:pPr>
      <w:r>
        <w:t>🧠 Clinical Rationale: Upright position reduces venous return and improves breathing in pulmonary congestion.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Flat supine — does not match the characteristic feature/management described in the stem</w:t>
      </w:r>
    </w:p>
    <w:p>
      <w:pPr>
        <w:spacing w:after="200" w:line="276" w:lineRule="auto"/>
      </w:pPr>
      <w:r>
        <w:t>B. Trendelenburg — does not match the characteristic feature/management described in the stem</w:t>
      </w:r>
    </w:p>
    <w:p>
      <w:pPr>
        <w:spacing w:after="200" w:line="276" w:lineRule="auto"/>
      </w:pPr>
      <w:r>
        <w:t>C. Prone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Cardiogenic shock is suggested by</w:t>
      </w:r>
    </w:p>
    <w:p>
      <w:pPr>
        <w:spacing w:after="200" w:line="276" w:lineRule="auto"/>
      </w:pPr>
      <w:r>
        <w:t>(a) Hypotension with cool extremities, oliguria and elevated filling pressures</w:t>
      </w:r>
    </w:p>
    <w:p>
      <w:pPr>
        <w:spacing w:after="200" w:line="276" w:lineRule="auto"/>
      </w:pPr>
      <w:r>
        <w:t>(b) Warm dry skin</w:t>
      </w:r>
    </w:p>
    <w:p>
      <w:pPr>
        <w:spacing w:after="200" w:line="276" w:lineRule="auto"/>
      </w:pPr>
      <w:r>
        <w:t>(c) Polyuria</w:t>
      </w:r>
    </w:p>
    <w:p>
      <w:pPr>
        <w:spacing w:after="200" w:line="276" w:lineRule="auto"/>
      </w:pPr>
      <w:r>
        <w:t>(d) Bradycardia with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with cool extremities, oliguria and elevated filling pressures</w:t>
      </w:r>
    </w:p>
    <w:p>
      <w:pPr>
        <w:spacing w:after="200" w:line="276" w:lineRule="auto"/>
      </w:pPr>
      <w:r>
        <w:t>🧠 Clinical Rationale: Low output + congestion: cold, clammy, confused, low urine, crackles.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Warm dry skin — does not match the characteristic feature/management described in the stem</w:t>
      </w:r>
    </w:p>
    <w:p>
      <w:pPr>
        <w:spacing w:after="200" w:line="276" w:lineRule="auto"/>
      </w:pPr>
      <w:r>
        <w:t>C. Polyuria — does not match the characteristic feature/management described in the stem</w:t>
      </w:r>
    </w:p>
    <w:p>
      <w:pPr>
        <w:spacing w:after="200" w:line="276" w:lineRule="auto"/>
      </w:pPr>
      <w:r>
        <w:t>D. Bradycardia with fever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Aortic dissection classically presents with</w:t>
      </w:r>
    </w:p>
    <w:p>
      <w:pPr>
        <w:spacing w:after="200" w:line="276" w:lineRule="auto"/>
      </w:pPr>
      <w:r>
        <w:t>(a) Gradual dull ache</w:t>
      </w:r>
    </w:p>
    <w:p>
      <w:pPr>
        <w:spacing w:after="200" w:line="276" w:lineRule="auto"/>
      </w:pPr>
      <w:r>
        <w:t>(b) Heartburn</w:t>
      </w:r>
    </w:p>
    <w:p>
      <w:pPr>
        <w:spacing w:after="200" w:line="276" w:lineRule="auto"/>
      </w:pPr>
      <w:r>
        <w:t>(c) Itching</w:t>
      </w:r>
    </w:p>
    <w:p>
      <w:pPr>
        <w:spacing w:after="200" w:line="276" w:lineRule="auto"/>
      </w:pPr>
      <w:r>
        <w:t>(d) Sudden severe tearing chest/back pain with unequal pulses or BP difference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Sudden severe tearing chest/back pain with unequal pulses or BP difference</w:t>
      </w:r>
    </w:p>
    <w:p>
      <w:pPr>
        <w:spacing w:after="200" w:line="276" w:lineRule="auto"/>
      </w:pPr>
      <w:r>
        <w:t>🧠 Clinical Rationale: Tearing pain + pulse deficit/mediastinal widening — CT angiography confirms; control HR/BP.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Gradual dull ache — does not match the characteristic feature/management described in the stem</w:t>
      </w:r>
    </w:p>
    <w:p>
      <w:pPr>
        <w:spacing w:after="200" w:line="276" w:lineRule="auto"/>
      </w:pPr>
      <w:r>
        <w:t>B. Heartburn — does not match the characteristic feature/management described in the stem</w:t>
      </w:r>
    </w:p>
    <w:p>
      <w:pPr>
        <w:spacing w:after="200" w:line="276" w:lineRule="auto"/>
      </w:pPr>
      <w:r>
        <w:t>C. Itching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 ECG after an acute MI, the evolution typically shows</w:t>
      </w:r>
    </w:p>
    <w:p>
      <w:pPr>
        <w:spacing w:after="200" w:line="276" w:lineRule="auto"/>
      </w:pPr>
      <w:r>
        <w:t>(a) Normal tracing</w:t>
      </w:r>
    </w:p>
    <w:p>
      <w:pPr>
        <w:spacing w:after="200" w:line="276" w:lineRule="auto"/>
      </w:pPr>
      <w:r>
        <w:t>(b) Only U waves</w:t>
      </w:r>
    </w:p>
    <w:p>
      <w:pPr>
        <w:spacing w:after="200" w:line="276" w:lineRule="auto"/>
      </w:pPr>
      <w:r>
        <w:t>(c) Peaked T waves → ST elevation → Q waves with T-wave inversion</w:t>
      </w:r>
    </w:p>
    <w:p>
      <w:pPr>
        <w:spacing w:after="200" w:line="276" w:lineRule="auto"/>
      </w:pPr>
      <w:r>
        <w:t>(d) Short PR interval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Peaked T waves → ST elevation → Q waves with T-wave inversion</w:t>
      </w:r>
    </w:p>
    <w:p>
      <w:pPr>
        <w:spacing w:after="200" w:line="276" w:lineRule="auto"/>
      </w:pPr>
      <w:r>
        <w:t>🧠 Clinical Rationale: Hyperacute T waves precede ST elevation; Q waves develop with completed necrosis.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tracing — does not match the characteristic feature/management described in the stem</w:t>
      </w:r>
    </w:p>
    <w:p>
      <w:pPr>
        <w:spacing w:after="200" w:line="276" w:lineRule="auto"/>
      </w:pPr>
      <w:r>
        <w:t>B. Only U waves — does not match the characteristic feature/management described in the stem</w:t>
      </w:r>
    </w:p>
    <w:p>
      <w:pPr>
        <w:spacing w:after="200" w:line="276" w:lineRule="auto"/>
      </w:pPr>
      <w:r>
        <w:t>D. Short PR interval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Antibiotic prophylaxis for infective endocarditis is given before</w:t>
      </w:r>
    </w:p>
    <w:p>
      <w:pPr>
        <w:spacing w:after="200" w:line="276" w:lineRule="auto"/>
      </w:pPr>
      <w:r>
        <w:t>(a) Every meal</w:t>
      </w:r>
    </w:p>
    <w:p>
      <w:pPr>
        <w:spacing w:after="200" w:line="276" w:lineRule="auto"/>
      </w:pPr>
      <w:r>
        <w:t>(b) High-risk dental procedures in patients with prosthetic valves or prior endocarditis</w:t>
      </w:r>
    </w:p>
    <w:p>
      <w:pPr>
        <w:spacing w:after="200" w:line="276" w:lineRule="auto"/>
      </w:pPr>
      <w:r>
        <w:t>(c) All surgeries always</w:t>
      </w:r>
    </w:p>
    <w:p>
      <w:pPr>
        <w:spacing w:after="200" w:line="276" w:lineRule="auto"/>
      </w:pPr>
      <w:r>
        <w:t>(d) Flu shots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High-risk dental procedures in patients with prosthetic valves or prior endocarditis</w:t>
      </w:r>
    </w:p>
    <w:p>
      <w:pPr>
        <w:spacing w:after="200" w:line="276" w:lineRule="auto"/>
      </w:pPr>
      <w:r>
        <w:t>🧠 Clinical Rationale: Prophylaxis is limited to high-risk patients (prosthetic valves, prior IE, some congenital lesions).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meal — would be appropriate in a different situation, not this one</w:t>
      </w:r>
    </w:p>
    <w:p>
      <w:pPr>
        <w:spacing w:after="200" w:line="276" w:lineRule="auto"/>
      </w:pPr>
      <w:r>
        <w:t>C. All surgeries always — would be appropriate in a different situation, not this one</w:t>
      </w:r>
    </w:p>
    <w:p>
      <w:pPr>
        <w:spacing w:after="200" w:line="276" w:lineRule="auto"/>
      </w:pPr>
      <w:r>
        <w:t>D. Flu shots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return of spontaneous circulation, the nurse focuses on</w:t>
      </w:r>
    </w:p>
    <w:p>
      <w:pPr>
        <w:spacing w:after="200" w:line="276" w:lineRule="auto"/>
      </w:pPr>
      <w:r>
        <w:t>(a) Discharging the patient</w:t>
      </w:r>
    </w:p>
    <w:p>
      <w:pPr>
        <w:spacing w:after="200" w:line="276" w:lineRule="auto"/>
      </w:pPr>
      <w:r>
        <w:t>(b) Stopping monitoring</w:t>
      </w:r>
    </w:p>
    <w:p>
      <w:pPr>
        <w:spacing w:after="200" w:line="276" w:lineRule="auto"/>
      </w:pPr>
      <w:r>
        <w:t>(c) Oral feeding immediately</w:t>
      </w:r>
    </w:p>
    <w:p>
      <w:pPr>
        <w:spacing w:after="200" w:line="276" w:lineRule="auto"/>
      </w:pPr>
      <w:r>
        <w:t>(d) Airway/ventilation, blood pressure support, targeted temperature management and 12-lead ECG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Airway/ventilation, blood pressure support, targeted temperature management and 12-lead ECG</w:t>
      </w:r>
    </w:p>
    <w:p>
      <w:pPr>
        <w:spacing w:after="200" w:line="276" w:lineRule="auto"/>
      </w:pPr>
      <w:r>
        <w:t>🧠 Clinical Rationale: Post-cardiac arrest care bundle improves neurologically intact survival.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Discharging the patient — does not match the characteristic feature/management described in the stem</w:t>
      </w:r>
    </w:p>
    <w:p>
      <w:pPr>
        <w:spacing w:after="200" w:line="276" w:lineRule="auto"/>
      </w:pPr>
      <w:r>
        <w:t>B. Stopping monitoring — does not match the characteristic feature/management described in the stem</w:t>
      </w:r>
    </w:p>
    <w:p>
      <w:pPr>
        <w:spacing w:after="200" w:line="276" w:lineRule="auto"/>
      </w:pPr>
      <w:r>
        <w:t>C. Oral feeding immediately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ECG artifact can be caused by</w:t>
      </w:r>
    </w:p>
    <w:p>
      <w:pPr>
        <w:spacing w:after="200" w:line="276" w:lineRule="auto"/>
      </w:pPr>
      <w:r>
        <w:t>(a) Correct lead placement</w:t>
      </w:r>
    </w:p>
    <w:p>
      <w:pPr>
        <w:spacing w:after="200" w:line="276" w:lineRule="auto"/>
      </w:pPr>
      <w:r>
        <w:t>(b) Patient movement, loose electrodes, muscle tremor or faulty leads</w:t>
      </w:r>
    </w:p>
    <w:p>
      <w:pPr>
        <w:spacing w:after="200" w:line="276" w:lineRule="auto"/>
      </w:pPr>
      <w:r>
        <w:t>(c) Calm breathing</w:t>
      </w:r>
    </w:p>
    <w:p>
      <w:pPr>
        <w:spacing w:after="200" w:line="276" w:lineRule="auto"/>
      </w:pPr>
      <w:r>
        <w:t>(d) Good skin prep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Patient movement, loose electrodes, muscle tremor or faulty leads</w:t>
      </w:r>
    </w:p>
    <w:p>
      <w:pPr>
        <w:spacing w:after="200" w:line="276" w:lineRule="auto"/>
      </w:pPr>
      <w:r>
        <w:t>🧠 Clinical Rationale: Artifact mimics arrhythmias — check electrodes and leads before treating.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Correct lead placement — a related concept, but it does not match the defining feature asked</w:t>
      </w:r>
    </w:p>
    <w:p>
      <w:pPr>
        <w:spacing w:after="200" w:line="276" w:lineRule="auto"/>
      </w:pPr>
      <w:r>
        <w:t>C. Calm breathing — a related concept, but it does not match the defining feature asked</w:t>
      </w:r>
    </w:p>
    <w:p>
      <w:pPr>
        <w:spacing w:after="200" w:line="276" w:lineRule="auto"/>
      </w:pPr>
      <w:r>
        <w:t>D. Good skin prep — a related concept, but it does not match the defining feature asked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Phase 1 cardiac rehabilitation begins</w:t>
      </w:r>
    </w:p>
    <w:p>
      <w:pPr>
        <w:spacing w:after="200" w:line="276" w:lineRule="auto"/>
      </w:pPr>
      <w:r>
        <w:t>(a) During hospitalisation with early monitored mobility and education</w:t>
      </w:r>
    </w:p>
    <w:p>
      <w:pPr>
        <w:spacing w:after="200" w:line="276" w:lineRule="auto"/>
      </w:pPr>
      <w:r>
        <w:t>(b) Only after discharge at home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After one year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During hospitalisation with early monitored mobility and education</w:t>
      </w:r>
    </w:p>
    <w:p>
      <w:pPr>
        <w:spacing w:after="200" w:line="276" w:lineRule="auto"/>
      </w:pPr>
      <w:r>
        <w:t>🧠 Clinical Rationale: Phase 1: in-hospital early activity, education and risk-factor teaching.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after discharge at home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D. After one year — would be appropriate in a different situation, not this one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Unstable angina is distinguished from stable angina by</w:t>
      </w:r>
    </w:p>
    <w:p>
      <w:pPr>
        <w:spacing w:after="200" w:line="276" w:lineRule="auto"/>
      </w:pPr>
      <w:r>
        <w:t>(a) Pain at rest, new onset or increasing frequency/severity</w:t>
      </w:r>
    </w:p>
    <w:p>
      <w:pPr>
        <w:spacing w:after="200" w:line="276" w:lineRule="auto"/>
      </w:pPr>
      <w:r>
        <w:t>(b) Pain only with exertion for years</w:t>
      </w:r>
    </w:p>
    <w:p>
      <w:pPr>
        <w:spacing w:after="200" w:line="276" w:lineRule="auto"/>
      </w:pPr>
      <w:r>
        <w:t>(c) No pain ever</w:t>
      </w:r>
    </w:p>
    <w:p>
      <w:pPr>
        <w:spacing w:after="200" w:line="276" w:lineRule="auto"/>
      </w:pPr>
      <w:r>
        <w:t>(d) Pain relieved by rest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Pain at rest, new onset or increasing frequency/severity</w:t>
      </w:r>
    </w:p>
    <w:p>
      <w:pPr>
        <w:spacing w:after="200" w:line="276" w:lineRule="auto"/>
      </w:pPr>
      <w:r>
        <w:t>🧠 Clinical Rationale: Unstable angina = rest pain, new or worsening pattern — an ACS requiring urgent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Pain only with exertion for years — does not match the characteristic feature/management described in the stem</w:t>
      </w:r>
    </w:p>
    <w:p>
      <w:pPr>
        <w:spacing w:after="200" w:line="276" w:lineRule="auto"/>
      </w:pPr>
      <w:r>
        <w:t>C. No pain ever — does not match the characteristic feature/management described in the stem</w:t>
      </w:r>
    </w:p>
    <w:p>
      <w:pPr>
        <w:spacing w:after="200" w:line="276" w:lineRule="auto"/>
      </w:pPr>
      <w:r>
        <w:t>D. Pain relieved by rest always — does not match the characteristic feature/management described in the stem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