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Intravenous therapy is indicated for</w:t>
      </w:r>
    </w:p>
    <w:p>
      <w:pPr>
        <w:spacing w:after="200" w:line="276" w:lineRule="auto"/>
      </w:pPr>
      <w:r>
        <w:t>(a) All patients routinely</w:t>
      </w:r>
    </w:p>
    <w:p>
      <w:pPr>
        <w:spacing w:after="200" w:line="276" w:lineRule="auto"/>
      </w:pPr>
      <w:r>
        <w:t>(b) Only emergencies</w:t>
      </w:r>
    </w:p>
    <w:p>
      <w:pPr>
        <w:spacing w:after="200" w:line="276" w:lineRule="auto"/>
      </w:pPr>
      <w:r>
        <w:t>(c) Fluid/electrolyte replacement, medication delivery and nutrition when oral intake is impossible</w:t>
      </w:r>
    </w:p>
    <w:p>
      <w:pPr>
        <w:spacing w:after="200" w:line="276" w:lineRule="auto"/>
      </w:pPr>
      <w:r>
        <w:t>(d) Weight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Fluid/electrolyte replacement, medication delivery and nutrition when oral intake is impossible</w:t>
      </w:r>
    </w:p>
    <w:p>
      <w:pPr>
        <w:spacing w:after="200" w:line="276" w:lineRule="auto"/>
      </w:pPr>
      <w:r>
        <w:t>🧠 Clinical Rationale: IV therapy serves hydration, drugs, blood products and parenteral 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patients routinely — a related concept, but it does not match the defining feature asked</w:t>
      </w:r>
    </w:p>
    <w:p>
      <w:pPr>
        <w:spacing w:after="200" w:line="276" w:lineRule="auto"/>
      </w:pPr>
      <w:r>
        <w:t>B. Only emergencies — a related concept, but it does not match the defining feature asked</w:t>
      </w:r>
    </w:p>
    <w:p>
      <w:pPr>
        <w:spacing w:after="200" w:line="276" w:lineRule="auto"/>
      </w:pPr>
      <w:r>
        <w:t>D. Weight loss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Isotonic crystalloids include</w:t>
      </w:r>
    </w:p>
    <w:p>
      <w:pPr>
        <w:spacing w:after="200" w:line="276" w:lineRule="auto"/>
      </w:pPr>
      <w:r>
        <w:t>(a) 5% dextrose in water only</w:t>
      </w:r>
    </w:p>
    <w:p>
      <w:pPr>
        <w:spacing w:after="200" w:line="276" w:lineRule="auto"/>
      </w:pPr>
      <w:r>
        <w:t>(b) 3% saline</w:t>
      </w:r>
    </w:p>
    <w:p>
      <w:pPr>
        <w:spacing w:after="200" w:line="276" w:lineRule="auto"/>
      </w:pPr>
      <w:r>
        <w:t>(c) 0.9% normal saline and Ringer's lactate</w:t>
      </w:r>
    </w:p>
    <w:p>
      <w:pPr>
        <w:spacing w:after="200" w:line="276" w:lineRule="auto"/>
      </w:pPr>
      <w:r>
        <w:t>(d) Mannitol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0.9% normal saline and Ringer's lactate</w:t>
      </w:r>
    </w:p>
    <w:p>
      <w:pPr>
        <w:spacing w:after="200" w:line="276" w:lineRule="auto"/>
      </w:pPr>
      <w:r>
        <w:t>🧠 Clinical Rationale: NS and RL expand the vascular space; D5W is hypotonic after dextrose metabolism.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5% dextrose in water only — a related concept, but it does not match the defining feature asked</w:t>
      </w:r>
    </w:p>
    <w:p>
      <w:pPr>
        <w:spacing w:after="200" w:line="276" w:lineRule="auto"/>
      </w:pPr>
      <w:r>
        <w:t>B. 3% saline — a related concept, but it does not match the defining feature asked</w:t>
      </w:r>
    </w:p>
    <w:p>
      <w:pPr>
        <w:spacing w:after="200" w:line="276" w:lineRule="auto"/>
      </w:pPr>
      <w:r>
        <w:t>D. Mannitol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0.9% normal saline is used for</w:t>
      </w:r>
    </w:p>
    <w:p>
      <w:pPr>
        <w:spacing w:after="200" w:line="276" w:lineRule="auto"/>
      </w:pPr>
      <w:r>
        <w:t>(a) Free-water replacement</w:t>
      </w:r>
    </w:p>
    <w:p>
      <w:pPr>
        <w:spacing w:after="200" w:line="276" w:lineRule="auto"/>
      </w:pPr>
      <w:r>
        <w:t>(b) Routine maintenance only</w:t>
      </w:r>
    </w:p>
    <w:p>
      <w:pPr>
        <w:spacing w:after="200" w:line="276" w:lineRule="auto"/>
      </w:pPr>
      <w:r>
        <w:t>(c) Raising potassium</w:t>
      </w:r>
    </w:p>
    <w:p>
      <w:pPr>
        <w:spacing w:after="200" w:line="276" w:lineRule="auto"/>
      </w:pPr>
      <w:r>
        <w:t>(d) Fluid resuscitation and replacing sodium losses (e.g., vomiting, burns)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Fluid resuscitation and replacing sodium losses (e.g., vomiting, burns)</w:t>
      </w:r>
    </w:p>
    <w:p>
      <w:pPr>
        <w:spacing w:after="200" w:line="276" w:lineRule="auto"/>
      </w:pPr>
      <w:r>
        <w:t>🧠 Clinical Rationale: NS expands volume and treats sodium depletion; caution in heart failure/renal disease.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0.9%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Free-water replacement — does not match the characteristic feature/management described in the stem</w:t>
      </w:r>
    </w:p>
    <w:p>
      <w:pPr>
        <w:spacing w:after="200" w:line="276" w:lineRule="auto"/>
      </w:pPr>
      <w:r>
        <w:t>B. Routine maintenance only — does not match the characteristic feature/management described in the stem</w:t>
      </w:r>
    </w:p>
    <w:p>
      <w:pPr>
        <w:spacing w:after="200" w:line="276" w:lineRule="auto"/>
      </w:pPr>
      <w:r>
        <w:t>C. Raising potassium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Ringer's lactate should be used cautiously or avoided in</w:t>
      </w:r>
    </w:p>
    <w:p>
      <w:pPr>
        <w:spacing w:after="200" w:line="276" w:lineRule="auto"/>
      </w:pPr>
      <w:r>
        <w:t>(a) Severe liver disease (lactate metabolism) and renal failure (potassium)</w:t>
      </w:r>
    </w:p>
    <w:p>
      <w:pPr>
        <w:spacing w:after="200" w:line="276" w:lineRule="auto"/>
      </w:pPr>
      <w:r>
        <w:t>(b) Dehydration</w:t>
      </w:r>
    </w:p>
    <w:p>
      <w:pPr>
        <w:spacing w:after="200" w:line="276" w:lineRule="auto"/>
      </w:pPr>
      <w:r>
        <w:t>(c) Burns</w:t>
      </w:r>
    </w:p>
    <w:p>
      <w:pPr>
        <w:spacing w:after="200" w:line="276" w:lineRule="auto"/>
      </w:pPr>
      <w:r>
        <w:t>(d) Trauma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liver disease (lactate metabolism) and renal failure (potassium)</w:t>
      </w:r>
    </w:p>
    <w:p>
      <w:pPr>
        <w:spacing w:after="200" w:line="276" w:lineRule="auto"/>
      </w:pPr>
      <w:r>
        <w:t>🧠 Clinical Rationale: RL contains lactate and potassium — avoid in severe liver failure and hyperkalaemia.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Dehydration — does not match the characteristic feature/management described in the stem</w:t>
      </w:r>
    </w:p>
    <w:p>
      <w:pPr>
        <w:spacing w:after="200" w:line="276" w:lineRule="auto"/>
      </w:pPr>
      <w:r>
        <w:t>C. Burns — does not match the characteristic feature/management described in the stem</w:t>
      </w:r>
    </w:p>
    <w:p>
      <w:pPr>
        <w:spacing w:after="200" w:line="276" w:lineRule="auto"/>
      </w:pPr>
      <w:r>
        <w:t>D. Trauma — does not match the characteristic feature/management described in the stem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5% dextrose in water (D5W) is classified as</w:t>
      </w:r>
    </w:p>
    <w:p>
      <w:pPr>
        <w:spacing w:after="200" w:line="276" w:lineRule="auto"/>
      </w:pPr>
      <w:r>
        <w:t>(a) Isotonic always</w:t>
      </w:r>
    </w:p>
    <w:p>
      <w:pPr>
        <w:spacing w:after="200" w:line="276" w:lineRule="auto"/>
      </w:pPr>
      <w:r>
        <w:t>(b) Hypotonic (after dextrose is metabolised) — provides free water and calories</w:t>
      </w:r>
    </w:p>
    <w:p>
      <w:pPr>
        <w:spacing w:after="200" w:line="276" w:lineRule="auto"/>
      </w:pPr>
      <w:r>
        <w:t>(c) Hypertonic</w:t>
      </w:r>
    </w:p>
    <w:p>
      <w:pPr>
        <w:spacing w:after="200" w:line="276" w:lineRule="auto"/>
      </w:pPr>
      <w:r>
        <w:t>(d) A colloid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Hypotonic (after dextrose is metabolised) — provides free water and calories</w:t>
      </w:r>
    </w:p>
    <w:p>
      <w:pPr>
        <w:spacing w:after="200" w:line="276" w:lineRule="auto"/>
      </w:pPr>
      <w:r>
        <w:t>🧠 Clinical Rationale: D5W is isotonic in the bag but the dextrose is metabolised, leaving free water — good for dehydration without salt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Isotonic always — a related concept, but it does not match the defining feature asked</w:t>
      </w:r>
    </w:p>
    <w:p>
      <w:pPr>
        <w:spacing w:after="200" w:line="276" w:lineRule="auto"/>
      </w:pPr>
      <w:r>
        <w:t>C. Hypertonic — a related concept, but it does not match the defining feature asked</w:t>
      </w:r>
    </w:p>
    <w:p>
      <w:pPr>
        <w:spacing w:after="200" w:line="276" w:lineRule="auto"/>
      </w:pPr>
      <w:r>
        <w:t>D. A colloid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3% hypertonic saline is used for</w:t>
      </w:r>
    </w:p>
    <w:p>
      <w:pPr>
        <w:spacing w:after="200" w:line="276" w:lineRule="auto"/>
      </w:pPr>
      <w:r>
        <w:t>(a) Routine hydration</w:t>
      </w:r>
    </w:p>
    <w:p>
      <w:pPr>
        <w:spacing w:after="200" w:line="276" w:lineRule="auto"/>
      </w:pPr>
      <w:r>
        <w:t>(b) Maintenance fluids</w:t>
      </w:r>
    </w:p>
    <w:p>
      <w:pPr>
        <w:spacing w:after="200" w:line="276" w:lineRule="auto"/>
      </w:pPr>
      <w:r>
        <w:t>(c) Symptomatic hyponatraemia/cerebral oedema (ICU, with close monitoring)</w:t>
      </w:r>
    </w:p>
    <w:p>
      <w:pPr>
        <w:spacing w:after="200" w:line="276" w:lineRule="auto"/>
      </w:pPr>
      <w:r>
        <w:t>(d) Burns resuscitation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Symptomatic hyponatraemia/cerebral oedema (ICU, with close monitoring)</w:t>
      </w:r>
    </w:p>
    <w:p>
      <w:pPr>
        <w:spacing w:after="200" w:line="276" w:lineRule="auto"/>
      </w:pPr>
      <w:r>
        <w:t>🧠 Clinical Rationale: Hypertonic saline raises sodium rapidly when hyponatraemia causes seizures/coma — central line preferred.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3%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hydration — does not match the characteristic feature/management described in the stem</w:t>
      </w:r>
    </w:p>
    <w:p>
      <w:pPr>
        <w:spacing w:after="200" w:line="276" w:lineRule="auto"/>
      </w:pPr>
      <w:r>
        <w:t>B. Maintenance fluids — does not match the characteristic feature/management described in the stem</w:t>
      </w:r>
    </w:p>
    <w:p>
      <w:pPr>
        <w:spacing w:after="200" w:line="276" w:lineRule="auto"/>
      </w:pPr>
      <w:r>
        <w:t>D. Burns resuscitation — does not match the characteristic feature/management described in the stem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Examples of colloid solutions are</w:t>
      </w:r>
    </w:p>
    <w:p>
      <w:pPr>
        <w:spacing w:after="200" w:line="276" w:lineRule="auto"/>
      </w:pPr>
      <w:r>
        <w:t>(a) Albumin, hetastarch and dextran</w:t>
      </w:r>
    </w:p>
    <w:p>
      <w:pPr>
        <w:spacing w:after="200" w:line="276" w:lineRule="auto"/>
      </w:pPr>
      <w:r>
        <w:t>(b) Normal saline and RL</w:t>
      </w:r>
    </w:p>
    <w:p>
      <w:pPr>
        <w:spacing w:after="200" w:line="276" w:lineRule="auto"/>
      </w:pPr>
      <w:r>
        <w:t>(c) D5W</w:t>
      </w:r>
    </w:p>
    <w:p>
      <w:pPr>
        <w:spacing w:after="200" w:line="276" w:lineRule="auto"/>
      </w:pPr>
      <w:r>
        <w:t>(d) 3% saline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Albumin, hetastarch and dextran</w:t>
      </w:r>
    </w:p>
    <w:p>
      <w:pPr>
        <w:spacing w:after="200" w:line="276" w:lineRule="auto"/>
      </w:pPr>
      <w:r>
        <w:t>🧠 Clinical Rationale: Colloids contain large molecules that stay in the vascular space longer.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saline and RL — a related concept, but it does not match the defining feature asked</w:t>
      </w:r>
    </w:p>
    <w:p>
      <w:pPr>
        <w:spacing w:after="200" w:line="276" w:lineRule="auto"/>
      </w:pPr>
      <w:r>
        <w:t>C. D5W — a related concept, but it does not match the defining feature asked</w:t>
      </w:r>
    </w:p>
    <w:p>
      <w:pPr>
        <w:spacing w:after="200" w:line="276" w:lineRule="auto"/>
      </w:pPr>
      <w:r>
        <w:t>D. 3% saline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Local signs of phlebitis include</w:t>
      </w:r>
    </w:p>
    <w:p>
      <w:pPr>
        <w:spacing w:after="200" w:line="276" w:lineRule="auto"/>
      </w:pPr>
      <w:r>
        <w:t>(a) Cool pale skin</w:t>
      </w:r>
    </w:p>
    <w:p>
      <w:pPr>
        <w:spacing w:after="200" w:line="276" w:lineRule="auto"/>
      </w:pPr>
      <w:r>
        <w:t>(b) No change</w:t>
      </w:r>
    </w:p>
    <w:p>
      <w:pPr>
        <w:spacing w:after="200" w:line="276" w:lineRule="auto"/>
      </w:pPr>
      <w:r>
        <w:t>(c) Pain, redness and warmth along the vein</w:t>
      </w:r>
    </w:p>
    <w:p>
      <w:pPr>
        <w:spacing w:after="200" w:line="276" w:lineRule="auto"/>
      </w:pPr>
      <w:r>
        <w:t>(d) Itching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Pain, redness and warmth along the vein</w:t>
      </w:r>
    </w:p>
    <w:p>
      <w:pPr>
        <w:spacing w:after="200" w:line="276" w:lineRule="auto"/>
      </w:pPr>
      <w:r>
        <w:t>🧠 Clinical Rationale: Phlebitis (vein inflammation): erythema, tenderness, warmth; remove the cannula and apply warmth.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Cool pale skin — does not match the characteristic feature/management described in the stem</w:t>
      </w:r>
    </w:p>
    <w:p>
      <w:pPr>
        <w:spacing w:after="200" w:line="276" w:lineRule="auto"/>
      </w:pPr>
      <w:r>
        <w:t>B. No change — does not match the characteristic feature/management described in the stem</w:t>
      </w:r>
    </w:p>
    <w:p>
      <w:pPr>
        <w:spacing w:after="200" w:line="276" w:lineRule="auto"/>
      </w:pPr>
      <w:r>
        <w:t>D. Itching only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infiltration is suspected when the site shows</w:t>
      </w:r>
    </w:p>
    <w:p>
      <w:pPr>
        <w:spacing w:after="200" w:line="276" w:lineRule="auto"/>
      </w:pPr>
      <w:r>
        <w:t>(a) Warmth and redness</w:t>
      </w:r>
    </w:p>
    <w:p>
      <w:pPr>
        <w:spacing w:after="200" w:line="276" w:lineRule="auto"/>
      </w:pPr>
      <w:r>
        <w:t>(b) Coolness, swelling, pallor and slowed flow (fluid leaking into tissue)</w:t>
      </w:r>
    </w:p>
    <w:p>
      <w:pPr>
        <w:spacing w:after="200" w:line="276" w:lineRule="auto"/>
      </w:pPr>
      <w:r>
        <w:t>(c) Clear flow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Coolness, swelling, pallor and slowed flow (fluid leaking into tissue)</w:t>
      </w:r>
    </w:p>
    <w:p>
      <w:pPr>
        <w:spacing w:after="200" w:line="276" w:lineRule="auto"/>
      </w:pPr>
      <w:r>
        <w:t>🧠 Clinical Rationale: Stop the infusion, remove the cannula, elevate and apply warm/cold compresses per protocol.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Warmth and redness — does not match the characteristic feature/management described in the stem</w:t>
      </w:r>
    </w:p>
    <w:p>
      <w:pPr>
        <w:spacing w:after="200" w:line="276" w:lineRule="auto"/>
      </w:pPr>
      <w:r>
        <w:t>C. Clear flow — does not match the characteristic feature/management described in the stem</w:t>
      </w:r>
    </w:p>
    <w:p>
      <w:pPr>
        <w:spacing w:after="200" w:line="276" w:lineRule="auto"/>
      </w:pPr>
      <w:r>
        <w:t>D. No change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vesicant drug (e.g., doxorubicin, norepinephrine) leaking into tissue requires</w:t>
      </w:r>
    </w:p>
    <w:p>
      <w:pPr>
        <w:spacing w:after="200" w:line="276" w:lineRule="auto"/>
      </w:pPr>
      <w:r>
        <w:t>(a) Continue the infusion</w:t>
      </w:r>
    </w:p>
    <w:p>
      <w:pPr>
        <w:spacing w:after="200" w:line="276" w:lineRule="auto"/>
      </w:pPr>
      <w:r>
        <w:t>(b) Immediate stop, aspiration, antidote per protocol (e.g., phentolamine for vasopressors) and plastic surgery review</w:t>
      </w:r>
    </w:p>
    <w:p>
      <w:pPr>
        <w:spacing w:after="200" w:line="276" w:lineRule="auto"/>
      </w:pPr>
      <w:r>
        <w:t>(c) Warm compress only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stop, aspiration, antidote per protocol (e.g., phentolamine for vasopressors) and plastic surgery review</w:t>
      </w:r>
    </w:p>
    <w:p>
      <w:pPr>
        <w:spacing w:after="200" w:line="276" w:lineRule="auto"/>
      </w:pPr>
      <w:r>
        <w:t>🧠 Clinical Rationale: Vesicant extravasation causes tissue necrosis — specific antidotes and prompt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 the infusion — does not match the characteristic feature/management described in the stem</w:t>
      </w:r>
    </w:p>
    <w:p>
      <w:pPr>
        <w:spacing w:after="200" w:line="276" w:lineRule="auto"/>
      </w:pPr>
      <w:r>
        <w:t>C. Warm compress only — does not match the characteristic feature/management described in the stem</w:t>
      </w:r>
    </w:p>
    <w:p>
      <w:pPr>
        <w:spacing w:after="200" w:line="276" w:lineRule="auto"/>
      </w:pPr>
      <w:r>
        <w:t>D. Observation — does not match the characteristic feature/management described in the stem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Chemotherapy</w:t>
      </w:r>
    </w:p>
    <w:p>
      <w:pPr>
        <w:spacing w:after="200" w:line="276" w:lineRule="auto"/>
      </w:pPr>
      <w:r>
        <w:t>→ Neutropenia: avoid crowds, no raw food, monitor fever (emergency)</w:t>
      </w:r>
    </w:p>
    <w:p>
      <w:pPr>
        <w:spacing w:after="200" w:line="276" w:lineRule="auto"/>
      </w:pPr>
      <w:r>
        <w:t>→ Extravasation: stop infusion, aspirate, notify, drug-specific care</w:t>
      </w:r>
    </w:p>
    <w:p>
      <w:pPr>
        <w:spacing w:after="200" w:line="276" w:lineRule="auto"/>
      </w:pPr>
      <w:r>
        <w:t>→ Adverse: myelosuppression, nausea, alopecia, mucositis, fatigue</w:t>
      </w:r>
    </w:p>
    <w:p>
      <w:pPr>
        <w:spacing w:after="200" w:line="276" w:lineRule="auto"/>
      </w:pPr>
      <w:r>
        <w:t>→ Safe handling: gloves/gown, no pregnant staff handling cytotoxic drugs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infuse 1000 mL over 8 hours, the pump rate is</w:t>
      </w:r>
    </w:p>
    <w:p>
      <w:pPr>
        <w:spacing w:after="200" w:line="276" w:lineRule="auto"/>
      </w:pPr>
      <w:r>
        <w:t>(a) 125 mL/hour</w:t>
      </w:r>
    </w:p>
    <w:p>
      <w:pPr>
        <w:spacing w:after="200" w:line="276" w:lineRule="auto"/>
      </w:pPr>
      <w:r>
        <w:t>(b) 100 mL/hour</w:t>
      </w:r>
    </w:p>
    <w:p>
      <w:pPr>
        <w:spacing w:after="200" w:line="276" w:lineRule="auto"/>
      </w:pPr>
      <w:r>
        <w:t>(c) 150 mL/hour</w:t>
      </w:r>
    </w:p>
    <w:p>
      <w:pPr>
        <w:spacing w:after="200" w:line="276" w:lineRule="auto"/>
      </w:pPr>
      <w:r>
        <w:t>(d) 200 mL/hour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125 mL/hour</w:t>
      </w:r>
    </w:p>
    <w:p>
      <w:pPr>
        <w:spacing w:after="200" w:line="276" w:lineRule="auto"/>
      </w:pPr>
      <w:r>
        <w:t>🧠 Clinical Rationale: 1000/8 = 125 mL/h.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 mL/hour — would result from an error in formula or unit conversion</w:t>
      </w:r>
    </w:p>
    <w:p>
      <w:pPr>
        <w:spacing w:after="200" w:line="276" w:lineRule="auto"/>
      </w:pPr>
      <w:r>
        <w:t>C. 150 mL/hour — would result from an error in formula or unit conversion</w:t>
      </w:r>
    </w:p>
    <w:p>
      <w:pPr>
        <w:spacing w:after="200" w:line="276" w:lineRule="auto"/>
      </w:pPr>
      <w:r>
        <w:t>D. 200 mL/hour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drops-per-minute formula is</w:t>
      </w:r>
    </w:p>
    <w:p>
      <w:pPr>
        <w:spacing w:after="200" w:line="276" w:lineRule="auto"/>
      </w:pPr>
      <w:r>
        <w:t>(a) Volume ÷ drop factor</w:t>
      </w:r>
    </w:p>
    <w:p>
      <w:pPr>
        <w:spacing w:after="200" w:line="276" w:lineRule="auto"/>
      </w:pPr>
      <w:r>
        <w:t>(b) Time × volume</w:t>
      </w:r>
    </w:p>
    <w:p>
      <w:pPr>
        <w:spacing w:after="200" w:line="276" w:lineRule="auto"/>
      </w:pPr>
      <w:r>
        <w:t>(c) Drop factor ÷ volume</w:t>
      </w:r>
    </w:p>
    <w:p>
      <w:pPr>
        <w:spacing w:after="200" w:line="276" w:lineRule="auto"/>
      </w:pPr>
      <w:r>
        <w:t>(d) (Volume × drop factor) ÷ time in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(Volume × drop factor) ÷ time in minutes</w:t>
      </w:r>
    </w:p>
    <w:p>
      <w:pPr>
        <w:spacing w:after="200" w:line="276" w:lineRule="auto"/>
      </w:pPr>
      <w:r>
        <w:t>🧠 Clinical Rationale: gtt/min = (mL × gtt/mL) / minutes.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Volume ÷ drop factor — would result from an error in formula or unit conversion</w:t>
      </w:r>
    </w:p>
    <w:p>
      <w:pPr>
        <w:spacing w:after="200" w:line="276" w:lineRule="auto"/>
      </w:pPr>
      <w:r>
        <w:t>B. Time × volume — would result from an error in formula or unit conversion</w:t>
      </w:r>
    </w:p>
    <w:p>
      <w:pPr>
        <w:spacing w:after="200" w:line="276" w:lineRule="auto"/>
      </w:pPr>
      <w:r>
        <w:t>C. Drop factor ÷ volume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rapid blood transfusion or resuscitation, the nurse selects a</w:t>
      </w:r>
    </w:p>
    <w:p>
      <w:pPr>
        <w:spacing w:after="200" w:line="276" w:lineRule="auto"/>
      </w:pPr>
      <w:r>
        <w:t>(a) 24-gauge</w:t>
      </w:r>
    </w:p>
    <w:p>
      <w:pPr>
        <w:spacing w:after="200" w:line="276" w:lineRule="auto"/>
      </w:pPr>
      <w:r>
        <w:t>(b) 26-gauge</w:t>
      </w:r>
    </w:p>
    <w:p>
      <w:pPr>
        <w:spacing w:after="200" w:line="276" w:lineRule="auto"/>
      </w:pPr>
      <w:r>
        <w:t>(c) Large-bore cannula (16-18 gauge)</w:t>
      </w:r>
    </w:p>
    <w:p>
      <w:pPr>
        <w:spacing w:after="200" w:line="276" w:lineRule="auto"/>
      </w:pPr>
      <w:r>
        <w:t>(d) Smallest available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Large-bore cannula (16-18 gauge)</w:t>
      </w:r>
    </w:p>
    <w:p>
      <w:pPr>
        <w:spacing w:after="200" w:line="276" w:lineRule="auto"/>
      </w:pPr>
      <w:r>
        <w:t>🧠 Clinical Rationale: Large-bore cannulas allow rapid flow for blood and resuscitation.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24-gauge — would be appropriate in a different situation, not this one</w:t>
      </w:r>
    </w:p>
    <w:p>
      <w:pPr>
        <w:spacing w:after="200" w:line="276" w:lineRule="auto"/>
      </w:pPr>
      <w:r>
        <w:t>B. 26-gauge — would be appropriate in a different situation, not this one</w:t>
      </w:r>
    </w:p>
    <w:p>
      <w:pPr>
        <w:spacing w:after="200" w:line="276" w:lineRule="auto"/>
      </w:pPr>
      <w:r>
        <w:t>D. Smallest available — would be appropriate in a different situation, not this one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Peripheral IV cannulas are typically rotated every</w:t>
      </w:r>
    </w:p>
    <w:p>
      <w:pPr>
        <w:spacing w:after="200" w:line="276" w:lineRule="auto"/>
      </w:pPr>
      <w:r>
        <w:t>(a) 72-96 hours (or sooner if complications)</w:t>
      </w:r>
    </w:p>
    <w:p>
      <w:pPr>
        <w:spacing w:after="200" w:line="276" w:lineRule="auto"/>
      </w:pPr>
      <w:r>
        <w:t>(b) 2 weeks</w:t>
      </w:r>
    </w:p>
    <w:p>
      <w:pPr>
        <w:spacing w:after="200" w:line="276" w:lineRule="auto"/>
      </w:pPr>
      <w:r>
        <w:t>(c) One month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72-96 hours (or sooner if complications)</w:t>
      </w:r>
    </w:p>
    <w:p>
      <w:pPr>
        <w:spacing w:after="200" w:line="276" w:lineRule="auto"/>
      </w:pPr>
      <w:r>
        <w:t>🧠 Clinical Rationale: Routine rotation at 72-96 h reduces phlebitis and infection (unless limited sites).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 weeks — does not match the characteristic feature/management described in the stem</w:t>
      </w:r>
    </w:p>
    <w:p>
      <w:pPr>
        <w:spacing w:after="200" w:line="276" w:lineRule="auto"/>
      </w:pPr>
      <w:r>
        <w:t>C. One month — does not match the characteristic feature/management described in the stem</w:t>
      </w:r>
    </w:p>
    <w:p>
      <w:pPr>
        <w:spacing w:after="200" w:line="276" w:lineRule="auto"/>
      </w:pPr>
      <w:r>
        <w:t>D. Never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Rapid IV infusion may cause</w:t>
      </w:r>
    </w:p>
    <w:p>
      <w:pPr>
        <w:spacing w:after="200" w:line="276" w:lineRule="auto"/>
      </w:pPr>
      <w:r>
        <w:t>(a) Fluid overload: dyspnoea, crackles, oedema and hypertension</w:t>
      </w:r>
    </w:p>
    <w:p>
      <w:pPr>
        <w:spacing w:after="200" w:line="276" w:lineRule="auto"/>
      </w:pPr>
      <w:r>
        <w:t>(b) Dehydration</w:t>
      </w:r>
    </w:p>
    <w:p>
      <w:pPr>
        <w:spacing w:after="200" w:line="276" w:lineRule="auto"/>
      </w:pPr>
      <w:r>
        <w:t>(c) Hypovolaemia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Fluid overload: dyspnoea, crackles, oedema and hypertension</w:t>
      </w:r>
    </w:p>
    <w:p>
      <w:pPr>
        <w:spacing w:after="200" w:line="276" w:lineRule="auto"/>
      </w:pPr>
      <w:r>
        <w:t>🧠 Clinical Rationale: Too-rapid fluids cause circulatory overload — slow the rate and elevate the head.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Dehydration — does not match the characteristic feature/management described in the stem</w:t>
      </w:r>
    </w:p>
    <w:p>
      <w:pPr>
        <w:spacing w:after="200" w:line="276" w:lineRule="auto"/>
      </w:pPr>
      <w:r>
        <w:t>C. Hypovolaemia — does not match the characteristic feature/management described in the stem</w:t>
      </w:r>
    </w:p>
    <w:p>
      <w:pPr>
        <w:spacing w:after="200" w:line="276" w:lineRule="auto"/>
      </w:pPr>
      <w:r>
        <w:t>D. Bradycardia — does not match the characteristic feature/management described in the stem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 patient suddenly develops dyspnoea and hypotension after an IV disconnection, the nurse should</w:t>
      </w:r>
    </w:p>
    <w:p>
      <w:pPr>
        <w:spacing w:after="200" w:line="276" w:lineRule="auto"/>
      </w:pPr>
      <w:r>
        <w:t>(a) Continue the infusion</w:t>
      </w:r>
    </w:p>
    <w:p>
      <w:pPr>
        <w:spacing w:after="200" w:line="276" w:lineRule="auto"/>
      </w:pPr>
      <w:r>
        <w:t>(b) Clamp the line, place the patient in left lateral Trendelenburg (Durant position) and give oxygen</w:t>
      </w:r>
    </w:p>
    <w:p>
      <w:pPr>
        <w:spacing w:after="200" w:line="276" w:lineRule="auto"/>
      </w:pPr>
      <w:r>
        <w:t>(c) Sit the patient up</w:t>
      </w:r>
    </w:p>
    <w:p>
      <w:pPr>
        <w:spacing w:after="200" w:line="276" w:lineRule="auto"/>
      </w:pPr>
      <w:r>
        <w:t>(d) Give more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Clamp the line, place the patient in left lateral Trendelenburg (Durant position) and give oxygen</w:t>
      </w:r>
    </w:p>
    <w:p>
      <w:pPr>
        <w:spacing w:after="200" w:line="276" w:lineRule="auto"/>
      </w:pPr>
      <w:r>
        <w:t>🧠 Clinical Rationale: Suspect air embolism — Durant position traps air in the right ventricle.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 the infusion — does not match the characteristic feature/management described in the stem</w:t>
      </w:r>
    </w:p>
    <w:p>
      <w:pPr>
        <w:spacing w:after="200" w:line="276" w:lineRule="auto"/>
      </w:pPr>
      <w:r>
        <w:t>C. Sit the patient up — does not match the characteristic feature/management described in the stem</w:t>
      </w:r>
    </w:p>
    <w:p>
      <w:pPr>
        <w:spacing w:after="200" w:line="276" w:lineRule="auto"/>
      </w:pPr>
      <w:r>
        <w:t>D. Give more fluids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TPN is administered via</w:t>
      </w:r>
    </w:p>
    <w:p>
      <w:pPr>
        <w:spacing w:after="200" w:line="276" w:lineRule="auto"/>
      </w:pPr>
      <w:r>
        <w:t>(a) A peripheral 24-gauge</w:t>
      </w:r>
    </w:p>
    <w:p>
      <w:pPr>
        <w:spacing w:after="200" w:line="276" w:lineRule="auto"/>
      </w:pPr>
      <w:r>
        <w:t>(b) An oral route</w:t>
      </w:r>
    </w:p>
    <w:p>
      <w:pPr>
        <w:spacing w:after="200" w:line="276" w:lineRule="auto"/>
      </w:pPr>
      <w:r>
        <w:t>(c) Intramuscular injection</w:t>
      </w:r>
    </w:p>
    <w:p>
      <w:pPr>
        <w:spacing w:after="200" w:line="276" w:lineRule="auto"/>
      </w:pPr>
      <w:r>
        <w:t>(d) A central venous catheter (hypertonic solution)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central venous catheter (hypertonic solution)</w:t>
      </w:r>
    </w:p>
    <w:p>
      <w:pPr>
        <w:spacing w:after="200" w:line="276" w:lineRule="auto"/>
      </w:pPr>
      <w:r>
        <w:t>🧠 Clinical Rationale: TPN's high osmolality requires a central line; peripheral PN is limited to lower osmolality.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peripheral 24-gauge — does not match the characteristic feature/management described in the stem</w:t>
      </w:r>
    </w:p>
    <w:p>
      <w:pPr>
        <w:spacing w:after="200" w:line="276" w:lineRule="auto"/>
      </w:pPr>
      <w:r>
        <w:t>B. An oral route — does not match the characteristic feature/management described in the stem</w:t>
      </w:r>
    </w:p>
    <w:p>
      <w:pPr>
        <w:spacing w:after="200" w:line="276" w:lineRule="auto"/>
      </w:pPr>
      <w:r>
        <w:t>C. Intramuscular injection — does not match the characteristic feature/management described in the stem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TPN is monitored for</w:t>
      </w:r>
    </w:p>
    <w:p>
      <w:pPr>
        <w:spacing w:after="200" w:line="276" w:lineRule="auto"/>
      </w:pPr>
      <w:r>
        <w:t>(a) Only weight</w:t>
      </w:r>
    </w:p>
    <w:p>
      <w:pPr>
        <w:spacing w:after="200" w:line="276" w:lineRule="auto"/>
      </w:pPr>
      <w:r>
        <w:t>(b) Only urine colour</w:t>
      </w:r>
    </w:p>
    <w:p>
      <w:pPr>
        <w:spacing w:after="200" w:line="276" w:lineRule="auto"/>
      </w:pPr>
      <w:r>
        <w:t>(c) Hair growth</w:t>
      </w:r>
    </w:p>
    <w:p>
      <w:pPr>
        <w:spacing w:after="200" w:line="276" w:lineRule="auto"/>
      </w:pPr>
      <w:r>
        <w:t>(d) Blood glucose, electrolytes, liver function and signs of catheter sepsis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Blood glucose, electrolytes, liver function and signs of catheter sepsis</w:t>
      </w:r>
    </w:p>
    <w:p>
      <w:pPr>
        <w:spacing w:after="200" w:line="276" w:lineRule="auto"/>
      </w:pPr>
      <w:r>
        <w:t>🧠 Clinical Rationale: TPN complications: hyperglycaemia, refeeding syndrome, catheter sepsis, liver dysfunction.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weight — does not match the characteristic feature/management described in the stem</w:t>
      </w:r>
    </w:p>
    <w:p>
      <w:pPr>
        <w:spacing w:after="200" w:line="276" w:lineRule="auto"/>
      </w:pPr>
      <w:r>
        <w:t>B. Only urine colour — does not match the characteristic feature/management described in the stem</w:t>
      </w:r>
    </w:p>
    <w:p>
      <w:pPr>
        <w:spacing w:after="200" w:line="276" w:lineRule="auto"/>
      </w:pPr>
      <w:r>
        <w:t>C. Hair growth — does not match the characteristic feature/management described in the stem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heart-failure patient, IV fluids are given</w:t>
      </w:r>
    </w:p>
    <w:p>
      <w:pPr>
        <w:spacing w:after="200" w:line="276" w:lineRule="auto"/>
      </w:pPr>
      <w:r>
        <w:t>(a) Rapidly without monitoring</w:t>
      </w:r>
    </w:p>
    <w:p>
      <w:pPr>
        <w:spacing w:after="200" w:line="276" w:lineRule="auto"/>
      </w:pPr>
      <w:r>
        <w:t>(b) Cautiously with strict I/O and daily weights</w:t>
      </w:r>
    </w:p>
    <w:p>
      <w:pPr>
        <w:spacing w:after="200" w:line="276" w:lineRule="auto"/>
      </w:pPr>
      <w:r>
        <w:t>(c) In unlimited volumes</w:t>
      </w:r>
    </w:p>
    <w:p>
      <w:pPr>
        <w:spacing w:after="200" w:line="276" w:lineRule="auto"/>
      </w:pPr>
      <w:r>
        <w:t>(d) Only hypertonic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Cautiously with strict I/O and daily weights</w:t>
      </w:r>
    </w:p>
    <w:p>
      <w:pPr>
        <w:spacing w:after="200" w:line="276" w:lineRule="auto"/>
      </w:pPr>
      <w:r>
        <w:t>🧠 Clinical Rationale: Fluid-sensitive patients need careful titration, monitoring for overload.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Rapidly without monitoring — does not match the characteristic feature/management described in the stem</w:t>
      </w:r>
    </w:p>
    <w:p>
      <w:pPr>
        <w:spacing w:after="200" w:line="276" w:lineRule="auto"/>
      </w:pPr>
      <w:r>
        <w:t>C. In unlimited volumes — does not match the characteristic feature/management described in the stem</w:t>
      </w:r>
    </w:p>
    <w:p>
      <w:pPr>
        <w:spacing w:after="200" w:line="276" w:lineRule="auto"/>
      </w:pPr>
      <w:r>
        <w:t>D. Only hypertonic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therapy documentation includes</w:t>
      </w:r>
    </w:p>
    <w:p>
      <w:pPr>
        <w:spacing w:after="200" w:line="276" w:lineRule="auto"/>
      </w:pPr>
      <w:r>
        <w:t>(a) Only the time started</w:t>
      </w:r>
    </w:p>
    <w:p>
      <w:pPr>
        <w:spacing w:after="200" w:line="276" w:lineRule="auto"/>
      </w:pPr>
      <w:r>
        <w:t>(b) Only the batch number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Solution, rate, site, assessment findings and patient response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Solution, rate, site, assessment findings and patient response</w:t>
      </w:r>
    </w:p>
    <w:p>
      <w:pPr>
        <w:spacing w:after="200" w:line="276" w:lineRule="auto"/>
      </w:pPr>
      <w:r>
        <w:t>🧠 Clinical Rationale: Accurate documentation supports safety, continuity and audit.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time started — would be appropriate in a different situation, not this one</w:t>
      </w:r>
    </w:p>
    <w:p>
      <w:pPr>
        <w:spacing w:after="200" w:line="276" w:lineRule="auto"/>
      </w:pPr>
      <w:r>
        <w:t>B. Only the batch number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