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 adult cardiac arrest, the IV/IO dose of adrenaline is</w:t>
      </w:r>
    </w:p>
    <w:p>
      <w:pPr>
        <w:spacing w:after="200" w:line="276" w:lineRule="auto"/>
      </w:pPr>
      <w:r>
        <w:t>(a) 0.5 mg every hour</w:t>
      </w:r>
    </w:p>
    <w:p>
      <w:pPr>
        <w:spacing w:after="200" w:line="276" w:lineRule="auto"/>
      </w:pPr>
      <w:r>
        <w:t>(b) 1 mg every 3-5 minutes</w:t>
      </w:r>
    </w:p>
    <w:p>
      <w:pPr>
        <w:spacing w:after="200" w:line="276" w:lineRule="auto"/>
      </w:pPr>
      <w:r>
        <w:t>(c) 10 mg bolus</w:t>
      </w:r>
    </w:p>
    <w:p>
      <w:pPr>
        <w:spacing w:after="200" w:line="276" w:lineRule="auto"/>
      </w:pPr>
      <w:r>
        <w:t>(d) 0.1 mg once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 mg every 3-5 minutes</w:t>
      </w:r>
    </w:p>
    <w:p>
      <w:pPr>
        <w:spacing w:after="200" w:line="276" w:lineRule="auto"/>
      </w:pPr>
      <w:r>
        <w:t>🧠 Clinical Rationale: ACLS: adrenaline 1 mg IV/IO q3-5 min; followed by 20 mL flush and CPR.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0.5 mg every hour — not the correct drug/class for this indication</w:t>
      </w:r>
    </w:p>
    <w:p>
      <w:pPr>
        <w:spacing w:after="200" w:line="276" w:lineRule="auto"/>
      </w:pPr>
      <w:r>
        <w:t>C. 10 mg bolus — not the correct drug/class for this indication</w:t>
      </w:r>
    </w:p>
    <w:p>
      <w:pPr>
        <w:spacing w:after="200" w:line="276" w:lineRule="auto"/>
      </w:pPr>
      <w:r>
        <w:t>D. 0.1 mg once — not the correct drug/class for this indication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adult IM dose of adrenaline 1:1000 for anaphylaxis is</w:t>
      </w:r>
    </w:p>
    <w:p>
      <w:pPr>
        <w:spacing w:after="200" w:line="276" w:lineRule="auto"/>
      </w:pPr>
      <w:r>
        <w:t>(a) 1 mg IV push</w:t>
      </w:r>
    </w:p>
    <w:p>
      <w:pPr>
        <w:spacing w:after="200" w:line="276" w:lineRule="auto"/>
      </w:pPr>
      <w:r>
        <w:t>(b) 5 mg oral</w:t>
      </w:r>
    </w:p>
    <w:p>
      <w:pPr>
        <w:spacing w:after="200" w:line="276" w:lineRule="auto"/>
      </w:pPr>
      <w:r>
        <w:t>(c) 0.3-0.5 mg (0.3-0.5 mL) anterolateral thigh</w:t>
      </w:r>
    </w:p>
    <w:p>
      <w:pPr>
        <w:spacing w:after="200" w:line="276" w:lineRule="auto"/>
      </w:pPr>
      <w:r>
        <w:t>(d) 0.1 mL subcut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0.3-0.5 mg (0.3-0.5 mL) anterolateral thigh</w:t>
      </w:r>
    </w:p>
    <w:p>
      <w:pPr>
        <w:spacing w:after="200" w:line="276" w:lineRule="auto"/>
      </w:pPr>
      <w:r>
        <w:t>🧠 Clinical Rationale: IM 0.3-0.5 mg (1:1000) is first-line; repeat in 5-15 min if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mg IV push — not the correct drug/class for this indication</w:t>
      </w:r>
    </w:p>
    <w:p>
      <w:pPr>
        <w:spacing w:after="200" w:line="276" w:lineRule="auto"/>
      </w:pPr>
      <w:r>
        <w:t>B. 5 mg oral — not the correct drug/class for this indication</w:t>
      </w:r>
    </w:p>
    <w:p>
      <w:pPr>
        <w:spacing w:after="200" w:line="276" w:lineRule="auto"/>
      </w:pPr>
      <w:r>
        <w:t>D. 0.1 mL subcut only — not the correct drug/class for this indication</w:t>
      </w:r>
    </w:p>
    <w:p>
      <w:pPr>
        <w:spacing w:after="200" w:line="276" w:lineRule="auto"/>
      </w:pPr>
      <w:r>
        <w:t>⚠️ Exam Trap: Epinephrine is first in anaphylaxis — antihistamines and steroids are adjuncts, not first-line.</w:t>
      </w:r>
    </w:p>
    <w:p>
      <w:pPr>
        <w:spacing w:after="200" w:line="276" w:lineRule="auto"/>
      </w:pPr>
      <w:r>
        <w:t>💎 PNC Pearl: Anaphylaxis → IM epinephrine (adrenaline) in the anterolateral thigh is the FIRST-line, life-saving drug.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Anaphylaxis</w:t>
      </w:r>
    </w:p>
    <w:p>
      <w:pPr>
        <w:spacing w:after="200" w:line="276" w:lineRule="auto"/>
      </w:pPr>
      <w:r>
        <w:t>→ First: IM epinephrine 1:1000 (0.3–0.5 mg adult, anterolateral thigh)</w:t>
      </w:r>
    </w:p>
    <w:p>
      <w:pPr>
        <w:spacing w:after="200" w:line="276" w:lineRule="auto"/>
      </w:pPr>
      <w:r>
        <w:t>→ Then: airway/oxygen, IV fluids, antihistamines, steroids</w:t>
      </w:r>
    </w:p>
    <w:p>
      <w:pPr>
        <w:spacing w:after="200" w:line="276" w:lineRule="auto"/>
      </w:pPr>
      <w:r>
        <w:t>→ Prevent: identify allergen, allergy band, EpiPen education</w:t>
      </w:r>
    </w:p>
    <w:p>
      <w:pPr>
        <w:spacing w:after="200" w:line="276" w:lineRule="auto"/>
      </w:pPr>
      <w:r>
        <w:t>→ Late-phase reaction possible — observe for 4–6 h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1:1000 adrenaline concentration contains</w:t>
      </w:r>
    </w:p>
    <w:p>
      <w:pPr>
        <w:spacing w:after="200" w:line="276" w:lineRule="auto"/>
      </w:pPr>
      <w:r>
        <w:t>(a) 0.1 mg/mL</w:t>
      </w:r>
    </w:p>
    <w:p>
      <w:pPr>
        <w:spacing w:after="200" w:line="276" w:lineRule="auto"/>
      </w:pPr>
      <w:r>
        <w:t>(b) 10 mg/mL</w:t>
      </w:r>
    </w:p>
    <w:p>
      <w:pPr>
        <w:spacing w:after="200" w:line="276" w:lineRule="auto"/>
      </w:pPr>
      <w:r>
        <w:t>(c) 0.01 mg/mL</w:t>
      </w:r>
    </w:p>
    <w:p>
      <w:pPr>
        <w:spacing w:after="200" w:line="276" w:lineRule="auto"/>
      </w:pPr>
      <w:r>
        <w:t>(d) 1 mg/mL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 mg/mL</w:t>
      </w:r>
    </w:p>
    <w:p>
      <w:pPr>
        <w:spacing w:after="200" w:line="276" w:lineRule="auto"/>
      </w:pPr>
      <w:r>
        <w:t>🧠 Clinical Rationale: 1:1000 = 1 g in 1000 mL = 1 mg/mL (IM); 1:10,000 = 0.1 mg/mL (IV).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0.1 mg/mL — not the correct drug/class for this indication</w:t>
      </w:r>
    </w:p>
    <w:p>
      <w:pPr>
        <w:spacing w:after="200" w:line="276" w:lineRule="auto"/>
      </w:pPr>
      <w:r>
        <w:t>B. 10 mg/mL — not the correct drug/class for this indication</w:t>
      </w:r>
    </w:p>
    <w:p>
      <w:pPr>
        <w:spacing w:after="200" w:line="276" w:lineRule="auto"/>
      </w:pPr>
      <w:r>
        <w:t>C. 0.01 mg/mL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Atropine is NO longer recommended routinely in asystole/PEA because</w:t>
      </w:r>
    </w:p>
    <w:p>
      <w:pPr>
        <w:spacing w:after="200" w:line="276" w:lineRule="auto"/>
      </w:pPr>
      <w:r>
        <w:t>(a) It is too cheap</w:t>
      </w:r>
    </w:p>
    <w:p>
      <w:pPr>
        <w:spacing w:after="200" w:line="276" w:lineRule="auto"/>
      </w:pPr>
      <w:r>
        <w:t>(b) It causes hypotension</w:t>
      </w:r>
    </w:p>
    <w:p>
      <w:pPr>
        <w:spacing w:after="200" w:line="276" w:lineRule="auto"/>
      </w:pPr>
      <w:r>
        <w:t>(c) Evidence shows no benefit over adrenaline alone</w:t>
      </w:r>
    </w:p>
    <w:p>
      <w:pPr>
        <w:spacing w:after="200" w:line="276" w:lineRule="auto"/>
      </w:pPr>
      <w:r>
        <w:t>(d) It is unavailable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Evidence shows no benefit over adrenaline alone</w:t>
      </w:r>
    </w:p>
    <w:p>
      <w:pPr>
        <w:spacing w:after="200" w:line="276" w:lineRule="auto"/>
      </w:pPr>
      <w:r>
        <w:t>🧠 Clinical Rationale: Atropine is limited to bradycardia; routine use in asystole/PEA was removed from guidelines.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too cheap — not the correct drug/class for this indication</w:t>
      </w:r>
    </w:p>
    <w:p>
      <w:pPr>
        <w:spacing w:after="200" w:line="276" w:lineRule="auto"/>
      </w:pPr>
      <w:r>
        <w:t>B. It causes hypotension — not the correct drug/class for this indication</w:t>
      </w:r>
    </w:p>
    <w:p>
      <w:pPr>
        <w:spacing w:after="200" w:line="276" w:lineRule="auto"/>
      </w:pPr>
      <w:r>
        <w:t>D. It is unavailable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shock-refractory VF/pulseless VT, amiodarone is given as</w:t>
      </w:r>
    </w:p>
    <w:p>
      <w:pPr>
        <w:spacing w:after="200" w:line="276" w:lineRule="auto"/>
      </w:pPr>
      <w:r>
        <w:t>(a) 1 mg/kg</w:t>
      </w:r>
    </w:p>
    <w:p>
      <w:pPr>
        <w:spacing w:after="200" w:line="276" w:lineRule="auto"/>
      </w:pPr>
      <w:r>
        <w:t>(b) 300 mg IV/IO bolus (then 150 mg if recurrent)</w:t>
      </w:r>
    </w:p>
    <w:p>
      <w:pPr>
        <w:spacing w:after="200" w:line="276" w:lineRule="auto"/>
      </w:pPr>
      <w:r>
        <w:t>(c) 100 mg oral</w:t>
      </w:r>
    </w:p>
    <w:p>
      <w:pPr>
        <w:spacing w:after="200" w:line="276" w:lineRule="auto"/>
      </w:pPr>
      <w:r>
        <w:t>(d) 2 g infusion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300 mg IV/IO bolus (then 150 mg if recurrent)</w:t>
      </w:r>
    </w:p>
    <w:p>
      <w:pPr>
        <w:spacing w:after="200" w:line="276" w:lineRule="auto"/>
      </w:pPr>
      <w:r>
        <w:t>🧠 Clinical Rationale: Amiodarone 300 mg after the 3rd shock; a second dose of 150 mg may follow.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mg/kg — not the correct drug/class for this indication</w:t>
      </w:r>
    </w:p>
    <w:p>
      <w:pPr>
        <w:spacing w:after="200" w:line="276" w:lineRule="auto"/>
      </w:pPr>
      <w:r>
        <w:t>C. 100 mg oral — not the correct drug/class for this indication</w:t>
      </w:r>
    </w:p>
    <w:p>
      <w:pPr>
        <w:spacing w:after="200" w:line="276" w:lineRule="auto"/>
      </w:pPr>
      <w:r>
        <w:t>D. 2 g infusion — not the correct drug/class for this indication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Lidocaine may be used instead of amiodarone in refractory VF/VT at a dose of</w:t>
      </w:r>
    </w:p>
    <w:p>
      <w:pPr>
        <w:spacing w:after="200" w:line="276" w:lineRule="auto"/>
      </w:pPr>
      <w:r>
        <w:t>(a) 100 mg oral</w:t>
      </w:r>
    </w:p>
    <w:p>
      <w:pPr>
        <w:spacing w:after="200" w:line="276" w:lineRule="auto"/>
      </w:pPr>
      <w:r>
        <w:t>(b) 0.1 mg/kg</w:t>
      </w:r>
    </w:p>
    <w:p>
      <w:pPr>
        <w:spacing w:after="200" w:line="276" w:lineRule="auto"/>
      </w:pPr>
      <w:r>
        <w:t>(c) 5 mg/kg/min only</w:t>
      </w:r>
    </w:p>
    <w:p>
      <w:pPr>
        <w:spacing w:after="200" w:line="276" w:lineRule="auto"/>
      </w:pPr>
      <w:r>
        <w:t>(d) 1-1.5 mg/kg IV bolus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1-1.5 mg/kg IV bolus</w:t>
      </w:r>
    </w:p>
    <w:p>
      <w:pPr>
        <w:spacing w:after="200" w:line="276" w:lineRule="auto"/>
      </w:pPr>
      <w:r>
        <w:t>🧠 Clinical Rationale: Lidocaine 1-1.5 mg/kg IV/IO is an alternative antiarrhythmic.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mg oral — not the correct drug/class for this indication</w:t>
      </w:r>
    </w:p>
    <w:p>
      <w:pPr>
        <w:spacing w:after="200" w:line="276" w:lineRule="auto"/>
      </w:pPr>
      <w:r>
        <w:t>B. 0.1 mg/kg — not the correct drug/class for this indication</w:t>
      </w:r>
    </w:p>
    <w:p>
      <w:pPr>
        <w:spacing w:after="200" w:line="276" w:lineRule="auto"/>
      </w:pPr>
      <w:r>
        <w:t>C. 5 mg/kg/min only — not the correct drug/class for this indication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magnesium is indicated in cardiac arrest when</w:t>
      </w:r>
    </w:p>
    <w:p>
      <w:pPr>
        <w:spacing w:after="200" w:line="276" w:lineRule="auto"/>
      </w:pPr>
      <w:r>
        <w:t>(a) Torsades de pointes (polymorphic VT) is present</w:t>
      </w:r>
    </w:p>
    <w:p>
      <w:pPr>
        <w:spacing w:after="200" w:line="276" w:lineRule="auto"/>
      </w:pPr>
      <w:r>
        <w:t>(b) The rhythm is sinus</w:t>
      </w:r>
    </w:p>
    <w:p>
      <w:pPr>
        <w:spacing w:after="200" w:line="276" w:lineRule="auto"/>
      </w:pPr>
      <w:r>
        <w:t>(c) BP is high</w:t>
      </w:r>
    </w:p>
    <w:p>
      <w:pPr>
        <w:spacing w:after="200" w:line="276" w:lineRule="auto"/>
      </w:pPr>
      <w:r>
        <w:t>(d) The patient is hypothermic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Torsades de pointes (polymorphic VT) is present</w:t>
      </w:r>
    </w:p>
    <w:p>
      <w:pPr>
        <w:spacing w:after="200" w:line="276" w:lineRule="auto"/>
      </w:pPr>
      <w:r>
        <w:t>🧠 Clinical Rationale: Mg 1-2 g IV for torsades; not routine for other arrest rhythms.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rhythm is sinus — not the correct drug/class for this indication</w:t>
      </w:r>
    </w:p>
    <w:p>
      <w:pPr>
        <w:spacing w:after="200" w:line="276" w:lineRule="auto"/>
      </w:pPr>
      <w:r>
        <w:t>C. BP is high — not the correct drug/class for this indication</w:t>
      </w:r>
    </w:p>
    <w:p>
      <w:pPr>
        <w:spacing w:after="200" w:line="276" w:lineRule="auto"/>
      </w:pPr>
      <w:r>
        <w:t>D. The patient is hypothermic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Sodium bicarbonate in resuscitation is given for</w:t>
      </w:r>
    </w:p>
    <w:p>
      <w:pPr>
        <w:spacing w:after="200" w:line="276" w:lineRule="auto"/>
      </w:pPr>
      <w:r>
        <w:t>(a) Every arrest</w:t>
      </w:r>
    </w:p>
    <w:p>
      <w:pPr>
        <w:spacing w:after="200" w:line="276" w:lineRule="auto"/>
      </w:pPr>
      <w:r>
        <w:t>(b) Sinus tachycardia</w:t>
      </w:r>
    </w:p>
    <w:p>
      <w:pPr>
        <w:spacing w:after="200" w:line="276" w:lineRule="auto"/>
      </w:pPr>
      <w:r>
        <w:t>(c) Hyperkalaemia and tricyclic antidepressant overdose</w:t>
      </w:r>
    </w:p>
    <w:p>
      <w:pPr>
        <w:spacing w:after="200" w:line="276" w:lineRule="auto"/>
      </w:pPr>
      <w:r>
        <w:t>(d) Hypoglycaemia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Hyperkalaemia and tricyclic antidepressant overdose</w:t>
      </w:r>
    </w:p>
    <w:p>
      <w:pPr>
        <w:spacing w:after="200" w:line="276" w:lineRule="auto"/>
      </w:pPr>
      <w:r>
        <w:t>🧠 Clinical Rationale: Bicarbonate is reserved for specific causes: hyperkalaemia, TCA overdose, severe acidosis.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Every arrest — not the correct drug/class for this indication</w:t>
      </w:r>
    </w:p>
    <w:p>
      <w:pPr>
        <w:spacing w:after="200" w:line="276" w:lineRule="auto"/>
      </w:pPr>
      <w:r>
        <w:t>B. Sinus tachycardia — not the correct drug/class for this indication</w:t>
      </w:r>
    </w:p>
    <w:p>
      <w:pPr>
        <w:spacing w:after="200" w:line="276" w:lineRule="auto"/>
      </w:pPr>
      <w:r>
        <w:t>D. Hypoglycaemia — not the correct drug/class for this indication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calcium is indicated in cardiac arrest due to</w:t>
      </w:r>
    </w:p>
    <w:p>
      <w:pPr>
        <w:spacing w:after="200" w:line="276" w:lineRule="auto"/>
      </w:pPr>
      <w:r>
        <w:t>(a) Hypotension</w:t>
      </w:r>
    </w:p>
    <w:p>
      <w:pPr>
        <w:spacing w:after="200" w:line="276" w:lineRule="auto"/>
      </w:pPr>
      <w:r>
        <w:t>(b) VF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Hyperkalaemia, hypocalcaemia and calcium-channel blocker overdose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Hyperkalaemia, hypocalcaemia and calcium-channel blocker overdose</w:t>
      </w:r>
    </w:p>
    <w:p>
      <w:pPr>
        <w:spacing w:after="200" w:line="276" w:lineRule="auto"/>
      </w:pPr>
      <w:r>
        <w:t>🧠 Clinical Rationale: Calcium is not routine; used for the specific Hs/Ts and CCB toxicity.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Hypotension — not the correct drug/class for this indication</w:t>
      </w:r>
    </w:p>
    <w:p>
      <w:pPr>
        <w:spacing w:after="200" w:line="276" w:lineRule="auto"/>
      </w:pPr>
      <w:r>
        <w:t>B. VF — not the correct drug/class for this indication</w:t>
      </w:r>
    </w:p>
    <w:p>
      <w:pPr>
        <w:spacing w:after="200" w:line="276" w:lineRule="auto"/>
      </w:pPr>
      <w:r>
        <w:t>C. Bradycardia — not the correct drug/class for this indication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Dopamine infusion is titrated by mcg/kg/min; at higher doses it</w:t>
      </w:r>
    </w:p>
    <w:p>
      <w:pPr>
        <w:spacing w:after="200" w:line="276" w:lineRule="auto"/>
      </w:pPr>
      <w:r>
        <w:t>(a) Only dilates</w:t>
      </w:r>
    </w:p>
    <w:p>
      <w:pPr>
        <w:spacing w:after="200" w:line="276" w:lineRule="auto"/>
      </w:pPr>
      <w:r>
        <w:t>(b) Predominantly causes alpha-mediated vasoconstriction</w:t>
      </w:r>
    </w:p>
    <w:p>
      <w:pPr>
        <w:spacing w:after="200" w:line="276" w:lineRule="auto"/>
      </w:pPr>
      <w:r>
        <w:t>(c) Causes bradycardia</w:t>
      </w:r>
    </w:p>
    <w:p>
      <w:pPr>
        <w:spacing w:after="200" w:line="276" w:lineRule="auto"/>
      </w:pPr>
      <w:r>
        <w:t>(d) Acts as a diuretic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Predominantly causes alpha-mediated vasoconstriction</w:t>
      </w:r>
    </w:p>
    <w:p>
      <w:pPr>
        <w:spacing w:after="200" w:line="276" w:lineRule="auto"/>
      </w:pPr>
      <w:r>
        <w:t>🧠 Clinical Rationale: Low dose = beta (inotropy); higher dose = alpha (vasoconstriction) — titrate to effect.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dilates — not the correct drug/class for this indication</w:t>
      </w:r>
    </w:p>
    <w:p>
      <w:pPr>
        <w:spacing w:after="200" w:line="276" w:lineRule="auto"/>
      </w:pPr>
      <w:r>
        <w:t>C. Causes bradycardia — not the correct drug/class for this indication</w:t>
      </w:r>
    </w:p>
    <w:p>
      <w:pPr>
        <w:spacing w:after="200" w:line="276" w:lineRule="auto"/>
      </w:pPr>
      <w:r>
        <w:t>D. Acts as a diuretic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prepare noradrenaline 4 mg in 50 mL, the concentration is</w:t>
      </w:r>
    </w:p>
    <w:p>
      <w:pPr>
        <w:spacing w:after="200" w:line="276" w:lineRule="auto"/>
      </w:pPr>
      <w:r>
        <w:t>(a) 80 mcg/mL</w:t>
      </w:r>
    </w:p>
    <w:p>
      <w:pPr>
        <w:spacing w:after="200" w:line="276" w:lineRule="auto"/>
      </w:pPr>
      <w:r>
        <w:t>(b) 8 mcg/mL</w:t>
      </w:r>
    </w:p>
    <w:p>
      <w:pPr>
        <w:spacing w:after="200" w:line="276" w:lineRule="auto"/>
      </w:pPr>
      <w:r>
        <w:t>(c) 800 mcg/mL</w:t>
      </w:r>
    </w:p>
    <w:p>
      <w:pPr>
        <w:spacing w:after="200" w:line="276" w:lineRule="auto"/>
      </w:pPr>
      <w:r>
        <w:t>(d) 0.8 mcg/mL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80 mcg/mL</w:t>
      </w:r>
    </w:p>
    <w:p>
      <w:pPr>
        <w:spacing w:after="200" w:line="276" w:lineRule="auto"/>
      </w:pPr>
      <w:r>
        <w:t>🧠 Clinical Rationale: 4 mg = 4000 mcg / 50 mL = 80 mcg/mL.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8 mcg/mL — would result from an error in formula or unit conversion</w:t>
      </w:r>
    </w:p>
    <w:p>
      <w:pPr>
        <w:spacing w:after="200" w:line="276" w:lineRule="auto"/>
      </w:pPr>
      <w:r>
        <w:t>C. 800 mcg/mL — would result from an error in formula or unit conversion</w:t>
      </w:r>
    </w:p>
    <w:p>
      <w:pPr>
        <w:spacing w:after="200" w:line="276" w:lineRule="auto"/>
      </w:pPr>
      <w:r>
        <w:t>D. 0.8 mcg/mL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Vasopressor infusions are titrated based on</w:t>
      </w:r>
    </w:p>
    <w:p>
      <w:pPr>
        <w:spacing w:after="200" w:line="276" w:lineRule="auto"/>
      </w:pPr>
      <w:r>
        <w:t>(a) The patient's wishes</w:t>
      </w:r>
    </w:p>
    <w:p>
      <w:pPr>
        <w:spacing w:after="200" w:line="276" w:lineRule="auto"/>
      </w:pPr>
      <w:r>
        <w:t>(b) MAP and perfusion parameters, not fixed rates</w:t>
      </w:r>
    </w:p>
    <w:p>
      <w:pPr>
        <w:spacing w:after="200" w:line="276" w:lineRule="auto"/>
      </w:pPr>
      <w:r>
        <w:t>(c) The bag volume</w:t>
      </w:r>
    </w:p>
    <w:p>
      <w:pPr>
        <w:spacing w:after="200" w:line="276" w:lineRule="auto"/>
      </w:pPr>
      <w:r>
        <w:t>(d) Heart sounds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MAP and perfusion parameters, not fixed rates</w:t>
      </w:r>
    </w:p>
    <w:p>
      <w:pPr>
        <w:spacing w:after="200" w:line="276" w:lineRule="auto"/>
      </w:pPr>
      <w:r>
        <w:t>🧠 Clinical Rationale: Titrate to MAP ≥65 mmHg (or perfusion goals) — reassess continuously.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patient's wishes — does not match the characteristic feature/management described in the stem</w:t>
      </w:r>
    </w:p>
    <w:p>
      <w:pPr>
        <w:spacing w:after="200" w:line="276" w:lineRule="auto"/>
      </w:pPr>
      <w:r>
        <w:t>C. The bag volume — does not match the characteristic feature/management described in the stem</w:t>
      </w:r>
    </w:p>
    <w:p>
      <w:pPr>
        <w:spacing w:after="200" w:line="276" w:lineRule="auto"/>
      </w:pPr>
      <w:r>
        <w:t>D. Heart sounds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Adenosine must be given as</w:t>
      </w:r>
    </w:p>
    <w:p>
      <w:pPr>
        <w:spacing w:after="200" w:line="276" w:lineRule="auto"/>
      </w:pPr>
      <w:r>
        <w:t>(a) A slow push over 5 minutes</w:t>
      </w:r>
    </w:p>
    <w:p>
      <w:pPr>
        <w:spacing w:after="200" w:line="276" w:lineRule="auto"/>
      </w:pPr>
      <w:r>
        <w:t>(b) An IM injection</w:t>
      </w:r>
    </w:p>
    <w:p>
      <w:pPr>
        <w:spacing w:after="200" w:line="276" w:lineRule="auto"/>
      </w:pPr>
      <w:r>
        <w:t>(c) An oral tablet</w:t>
      </w:r>
    </w:p>
    <w:p>
      <w:pPr>
        <w:spacing w:after="200" w:line="276" w:lineRule="auto"/>
      </w:pPr>
      <w:r>
        <w:t>(d) A rapid IV bolus followed by a fast saline flush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rapid IV bolus followed by a fast saline flush</w:t>
      </w:r>
    </w:p>
    <w:p>
      <w:pPr>
        <w:spacing w:after="200" w:line="276" w:lineRule="auto"/>
      </w:pPr>
      <w:r>
        <w:t>🧠 Clinical Rationale: Adenosine's half-life is seconds — rapid bolus with flush is essential.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slow push over 5 minutes — not the correct drug/class for this indication</w:t>
      </w:r>
    </w:p>
    <w:p>
      <w:pPr>
        <w:spacing w:after="200" w:line="276" w:lineRule="auto"/>
      </w:pPr>
      <w:r>
        <w:t>B. An IM injection — not the correct drug/class for this indication</w:t>
      </w:r>
    </w:p>
    <w:p>
      <w:pPr>
        <w:spacing w:after="200" w:line="276" w:lineRule="auto"/>
      </w:pPr>
      <w:r>
        <w:t>C. An oral tablet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Adenosine is avoided in</w:t>
      </w:r>
    </w:p>
    <w:p>
      <w:pPr>
        <w:spacing w:after="200" w:line="276" w:lineRule="auto"/>
      </w:pPr>
      <w:r>
        <w:t>(a) SVT</w:t>
      </w:r>
    </w:p>
    <w:p>
      <w:pPr>
        <w:spacing w:after="200" w:line="276" w:lineRule="auto"/>
      </w:pPr>
      <w:r>
        <w:t>(b) Second/third-degree heart block or sick sinus syndrome without a pacemaker</w:t>
      </w:r>
    </w:p>
    <w:p>
      <w:pPr>
        <w:spacing w:after="200" w:line="276" w:lineRule="auto"/>
      </w:pPr>
      <w:r>
        <w:t>(c) Young patients</w:t>
      </w:r>
    </w:p>
    <w:p>
      <w:pPr>
        <w:spacing w:after="200" w:line="276" w:lineRule="auto"/>
      </w:pPr>
      <w:r>
        <w:t>(d) Hypertension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Second/third-degree heart block or sick sinus syndrome without a pacemaker</w:t>
      </w:r>
    </w:p>
    <w:p>
      <w:pPr>
        <w:spacing w:after="200" w:line="276" w:lineRule="auto"/>
      </w:pPr>
      <w:r>
        <w:t>🧠 Clinical Rationale: Adenosine can worsen high-grade block — not for patients without escape mechanisms.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SVT — not the correct drug/class for this indication</w:t>
      </w:r>
    </w:p>
    <w:p>
      <w:pPr>
        <w:spacing w:after="200" w:line="276" w:lineRule="auto"/>
      </w:pPr>
      <w:r>
        <w:t>C. Young patients — not the correct drug/class for this indication</w:t>
      </w:r>
    </w:p>
    <w:p>
      <w:pPr>
        <w:spacing w:after="200" w:line="276" w:lineRule="auto"/>
      </w:pPr>
      <w:r>
        <w:t>D. Hypertension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calcium-channel blocker used to terminate AV-nodal SVT is</w:t>
      </w:r>
    </w:p>
    <w:p>
      <w:pPr>
        <w:spacing w:after="200" w:line="276" w:lineRule="auto"/>
      </w:pPr>
      <w:r>
        <w:t>(a) Nifedipine oral</w:t>
      </w:r>
    </w:p>
    <w:p>
      <w:pPr>
        <w:spacing w:after="200" w:line="276" w:lineRule="auto"/>
      </w:pPr>
      <w:r>
        <w:t>(b) Amiloride</w:t>
      </w:r>
    </w:p>
    <w:p>
      <w:pPr>
        <w:spacing w:after="200" w:line="276" w:lineRule="auto"/>
      </w:pPr>
      <w:r>
        <w:t>(c) Verapamil (IV) or diltiazem</w:t>
      </w:r>
    </w:p>
    <w:p>
      <w:pPr>
        <w:spacing w:after="200" w:line="276" w:lineRule="auto"/>
      </w:pPr>
      <w:r>
        <w:t>(d) Digoxin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Verapamil (IV) or diltiazem</w:t>
      </w:r>
    </w:p>
    <w:p>
      <w:pPr>
        <w:spacing w:after="200" w:line="276" w:lineRule="auto"/>
      </w:pPr>
      <w:r>
        <w:t>🧠 Clinical Rationale: IV verapamil/diltiazem slow AV nodal conduction; avoid in hypotension, HF and infants.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Nifedipine oral — not the correct drug/class for this indication</w:t>
      </w:r>
    </w:p>
    <w:p>
      <w:pPr>
        <w:spacing w:after="200" w:line="276" w:lineRule="auto"/>
      </w:pPr>
      <w:r>
        <w:t>B. Amiloride — not the correct drug/class for this indication</w:t>
      </w:r>
    </w:p>
    <w:p>
      <w:pPr>
        <w:spacing w:after="200" w:line="276" w:lineRule="auto"/>
      </w:pPr>
      <w:r>
        <w:t>D. Digoxin only — not the correct drug/class for this indication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potential adverse effect of IV amiodarone is</w:t>
      </w:r>
    </w:p>
    <w:p>
      <w:pPr>
        <w:spacing w:after="200" w:line="276" w:lineRule="auto"/>
      </w:pPr>
      <w:r>
        <w:t>(a) Hypotension and bradycardia (monitor closely)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Tachycardia</w:t>
      </w:r>
    </w:p>
    <w:p>
      <w:pPr>
        <w:spacing w:after="200" w:line="276" w:lineRule="auto"/>
      </w:pPr>
      <w:r>
        <w:t>(d) Hyperglycaemia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Hypotension and bradycardia (monitor closely)</w:t>
      </w:r>
    </w:p>
    <w:p>
      <w:pPr>
        <w:spacing w:after="200" w:line="276" w:lineRule="auto"/>
      </w:pPr>
      <w:r>
        <w:t>🧠 Clinical Rationale: Amiodarone commonly causes hypotension — infuse slowly and monitor BP/HR.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Hypertension — not the correct drug/class for this indication</w:t>
      </w:r>
    </w:p>
    <w:p>
      <w:pPr>
        <w:spacing w:after="200" w:line="276" w:lineRule="auto"/>
      </w:pPr>
      <w:r>
        <w:t>C. Tachycardia — not the correct drug/class for this indication</w:t>
      </w:r>
    </w:p>
    <w:p>
      <w:pPr>
        <w:spacing w:after="200" w:line="276" w:lineRule="auto"/>
      </w:pPr>
      <w:r>
        <w:t>D. Hyperglycaemia — not the correct drug/class for this indication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Phentolamine is the antidote for</w:t>
      </w:r>
    </w:p>
    <w:p>
      <w:pPr>
        <w:spacing w:after="200" w:line="276" w:lineRule="auto"/>
      </w:pPr>
      <w:r>
        <w:t>(a) Opioid overdose</w:t>
      </w:r>
    </w:p>
    <w:p>
      <w:pPr>
        <w:spacing w:after="200" w:line="276" w:lineRule="auto"/>
      </w:pPr>
      <w:r>
        <w:t>(b) Benzodiazepine overdose</w:t>
      </w:r>
    </w:p>
    <w:p>
      <w:pPr>
        <w:spacing w:after="200" w:line="276" w:lineRule="auto"/>
      </w:pPr>
      <w:r>
        <w:t>(c) Vasopressor (alpha-agonist) extravasation</w:t>
      </w:r>
    </w:p>
    <w:p>
      <w:pPr>
        <w:spacing w:after="200" w:line="276" w:lineRule="auto"/>
      </w:pPr>
      <w:r>
        <w:t>(d) Digoxin toxicity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Vasopressor (alpha-agonist) extravasation</w:t>
      </w:r>
    </w:p>
    <w:p>
      <w:pPr>
        <w:spacing w:after="200" w:line="276" w:lineRule="auto"/>
      </w:pPr>
      <w:r>
        <w:t>🧠 Clinical Rationale: Phentolamine 5-10 mg infiltrated reverses local alpha vasoconstriction.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Opioid overdose — not the correct drug/class for this indication</w:t>
      </w:r>
    </w:p>
    <w:p>
      <w:pPr>
        <w:spacing w:after="200" w:line="276" w:lineRule="auto"/>
      </w:pPr>
      <w:r>
        <w:t>B. Benzodiazepine overdose — not the correct drug/class for this indication</w:t>
      </w:r>
    </w:p>
    <w:p>
      <w:pPr>
        <w:spacing w:after="200" w:line="276" w:lineRule="auto"/>
      </w:pPr>
      <w:r>
        <w:t>D. Digoxin toxicity — not the correct drug/class for this indication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Flumazenil reverses the effects of</w:t>
      </w:r>
    </w:p>
    <w:p>
      <w:pPr>
        <w:spacing w:after="200" w:line="276" w:lineRule="auto"/>
      </w:pPr>
      <w:r>
        <w:t>(a) Benzodiazepines</w:t>
      </w:r>
    </w:p>
    <w:p>
      <w:pPr>
        <w:spacing w:after="200" w:line="276" w:lineRule="auto"/>
      </w:pPr>
      <w:r>
        <w:t>(b) Opioids</w:t>
      </w:r>
    </w:p>
    <w:p>
      <w:pPr>
        <w:spacing w:after="200" w:line="276" w:lineRule="auto"/>
      </w:pPr>
      <w:r>
        <w:t>(c) Beta-blockers</w:t>
      </w:r>
    </w:p>
    <w:p>
      <w:pPr>
        <w:spacing w:after="200" w:line="276" w:lineRule="auto"/>
      </w:pPr>
      <w:r>
        <w:t>(d) Digoxin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Benzodiazepines</w:t>
      </w:r>
    </w:p>
    <w:p>
      <w:pPr>
        <w:spacing w:after="200" w:line="276" w:lineRule="auto"/>
      </w:pPr>
      <w:r>
        <w:t>🧠 Clinical Rationale: Flumazenil is a benzodiazepine antagonist; use cautiously due to seizure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Opioids — not the correct drug/class for this indication</w:t>
      </w:r>
    </w:p>
    <w:p>
      <w:pPr>
        <w:spacing w:after="200" w:line="276" w:lineRule="auto"/>
      </w:pPr>
      <w:r>
        <w:t>C. Beta-blockers — not the correct drug/class for this indication</w:t>
      </w:r>
    </w:p>
    <w:p>
      <w:pPr>
        <w:spacing w:after="200" w:line="276" w:lineRule="auto"/>
      </w:pPr>
      <w:r>
        <w:t>D. Digoxin — not the correct drug/class for this indication</w:t>
      </w:r>
    </w:p>
    <w:p>
      <w:pPr>
        <w:spacing w:after="200" w:line="276" w:lineRule="auto"/>
      </w:pPr>
      <w:r>
        <w:t>⚠️ Exam Trap: Antidote pairings: benzodiazepine → flumazenil; opioid → naloxone; heparin → protamine; warfarin → vitamin K — never swap them.</w:t>
      </w:r>
    </w:p>
    <w:p>
      <w:pPr>
        <w:spacing w:after="200" w:line="276" w:lineRule="auto"/>
      </w:pPr>
      <w:r>
        <w:t>💎 PNC Pearl: Flumazenil is the antidote for benzodiazepine overdose — use cautiously (seizure risk in mixed overdose or chronic users).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Antidotes</w:t>
      </w:r>
    </w:p>
    <w:p>
      <w:pPr>
        <w:spacing w:after="200" w:line="276" w:lineRule="auto"/>
      </w:pPr>
      <w:r>
        <w:t>→ Benzodiazepines → flumazenil (seizure risk in mixed overdose)</w:t>
      </w:r>
    </w:p>
    <w:p>
      <w:pPr>
        <w:spacing w:after="200" w:line="276" w:lineRule="auto"/>
      </w:pPr>
      <w:r>
        <w:t>→ Opioids → naloxone (Narcan)</w:t>
      </w:r>
    </w:p>
    <w:p>
      <w:pPr>
        <w:spacing w:after="200" w:line="276" w:lineRule="auto"/>
      </w:pPr>
      <w:r>
        <w:t>→ Heparin → protamine sulfate; Warfarin → vitamin K</w:t>
      </w:r>
    </w:p>
    <w:p>
      <w:pPr>
        <w:spacing w:after="200" w:line="276" w:lineRule="auto"/>
      </w:pPr>
      <w:r>
        <w:t>→ Paracetamol → N-acetylcysteine; digoxin → Digoxin immune Fab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naloxone for opioid overdose, the patient must be observed because</w:t>
      </w:r>
    </w:p>
    <w:p>
      <w:pPr>
        <w:spacing w:after="200" w:line="276" w:lineRule="auto"/>
      </w:pPr>
      <w:r>
        <w:t>(a) It causes addiction</w:t>
      </w:r>
    </w:p>
    <w:p>
      <w:pPr>
        <w:spacing w:after="200" w:line="276" w:lineRule="auto"/>
      </w:pPr>
      <w:r>
        <w:t>(b) It wears off in a year</w:t>
      </w:r>
    </w:p>
    <w:p>
      <w:pPr>
        <w:spacing w:after="200" w:line="276" w:lineRule="auto"/>
      </w:pPr>
      <w:r>
        <w:t>(c) It has no effect</w:t>
      </w:r>
    </w:p>
    <w:p>
      <w:pPr>
        <w:spacing w:after="200" w:line="276" w:lineRule="auto"/>
      </w:pPr>
      <w:r>
        <w:t>(d) Naloxone's duration may be shorter than the opioid — re-narcotisation can occur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Naloxone's duration may be shorter than the opioid — re-narcotisation can occur</w:t>
      </w:r>
    </w:p>
    <w:p>
      <w:pPr>
        <w:spacing w:after="200" w:line="276" w:lineRule="auto"/>
      </w:pPr>
      <w:r>
        <w:t>🧠 Clinical Rationale: Monitor for recurrent respiratory depression; repeat doses or infusion may be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causes addiction — not the correct drug/class for this indication</w:t>
      </w:r>
    </w:p>
    <w:p>
      <w:pPr>
        <w:spacing w:after="200" w:line="276" w:lineRule="auto"/>
      </w:pPr>
      <w:r>
        <w:t>B. It wears off in a year — not the correct drug/class for this indication</w:t>
      </w:r>
    </w:p>
    <w:p>
      <w:pPr>
        <w:spacing w:after="200" w:line="276" w:lineRule="auto"/>
      </w:pPr>
      <w:r>
        <w:t>C. It has no effect — not the correct drug/class for this indication</w:t>
      </w:r>
    </w:p>
    <w:p>
      <w:pPr>
        <w:spacing w:after="200" w:line="276" w:lineRule="auto"/>
      </w:pPr>
      <w:r>
        <w:t>⚠️ Exam Trap: Opioid overdose: respiratory depression + pinpoint pupils → naloxone; the antidote pairing is a classic question.</w:t>
      </w:r>
    </w:p>
    <w:p>
      <w:pPr>
        <w:spacing w:after="200" w:line="276" w:lineRule="auto"/>
      </w:pPr>
      <w:r>
        <w:t>💎 PNC Pearl: Naloxone (Narcan) reverses opioid overdose — respiratory depression with pinpoint pupils is the clue.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Opioid overdose</w:t>
      </w:r>
    </w:p>
    <w:p>
      <w:pPr>
        <w:spacing w:after="200" w:line="276" w:lineRule="auto"/>
      </w:pPr>
      <w:r>
        <w:t>→ Clues: respiratory depression, pinpoint pupils, coma, hypothermia</w:t>
      </w:r>
    </w:p>
    <w:p>
      <w:pPr>
        <w:spacing w:after="200" w:line="276" w:lineRule="auto"/>
      </w:pPr>
      <w:r>
        <w:t>→ Treatment: naloxone IV/IM (repeat as needed), airway support</w:t>
      </w:r>
    </w:p>
    <w:p>
      <w:pPr>
        <w:spacing w:after="200" w:line="276" w:lineRule="auto"/>
      </w:pPr>
      <w:r>
        <w:t>→ Watch: naloxone wears off faster than the opioid — observe for re-sedation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Glucagon is used for severe hypoglycaemia when the patient</w:t>
      </w:r>
    </w:p>
    <w:p>
      <w:pPr>
        <w:spacing w:after="200" w:line="276" w:lineRule="auto"/>
      </w:pPr>
      <w:r>
        <w:t>(a) Has no IV access or is unconscious (IM/SC administration)</w:t>
      </w:r>
    </w:p>
    <w:p>
      <w:pPr>
        <w:spacing w:after="200" w:line="276" w:lineRule="auto"/>
      </w:pPr>
      <w:r>
        <w:t>(b) Can eat</w:t>
      </w:r>
    </w:p>
    <w:p>
      <w:pPr>
        <w:spacing w:after="200" w:line="276" w:lineRule="auto"/>
      </w:pPr>
      <w:r>
        <w:t>(c) Is mildly hungry</w:t>
      </w:r>
    </w:p>
    <w:p>
      <w:pPr>
        <w:spacing w:after="200" w:line="276" w:lineRule="auto"/>
      </w:pPr>
      <w:r>
        <w:t>(d) Has high sugar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Has no IV access or is unconscious (IM/SC administration)</w:t>
      </w:r>
    </w:p>
    <w:p>
      <w:pPr>
        <w:spacing w:after="200" w:line="276" w:lineRule="auto"/>
      </w:pPr>
      <w:r>
        <w:t>🧠 Clinical Rationale: Glucagon 1 mg IM/SC raises glucose in emergencies; give sugar once conscious.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Can eat — not the correct drug/class for this indication</w:t>
      </w:r>
    </w:p>
    <w:p>
      <w:pPr>
        <w:spacing w:after="200" w:line="276" w:lineRule="auto"/>
      </w:pPr>
      <w:r>
        <w:t>C. Is mildly hungry — not the correct drug/class for this indication</w:t>
      </w:r>
    </w:p>
    <w:p>
      <w:pPr>
        <w:spacing w:after="200" w:line="276" w:lineRule="auto"/>
      </w:pPr>
      <w:r>
        <w:t>D. Has high sugar — not the correct drug/class for this indication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