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IV 50% dextrose for hypoglycaemia is</w:t>
      </w:r>
    </w:p>
    <w:p>
      <w:pPr>
        <w:spacing w:after="200" w:line="276" w:lineRule="auto"/>
      </w:pPr>
      <w:r>
        <w:t>(a) Given slowly into a large vein (hypertonic, irritant)</w:t>
      </w:r>
    </w:p>
    <w:p>
      <w:pPr>
        <w:spacing w:after="200" w:line="276" w:lineRule="auto"/>
      </w:pPr>
      <w:r>
        <w:t>(b) Given rapidly by push into a small vein</w:t>
      </w:r>
    </w:p>
    <w:p>
      <w:pPr>
        <w:spacing w:after="200" w:line="276" w:lineRule="auto"/>
      </w:pPr>
      <w:r>
        <w:t>(c) Mixed with blood</w:t>
      </w:r>
    </w:p>
    <w:p>
      <w:pPr>
        <w:spacing w:after="200" w:line="276" w:lineRule="auto"/>
      </w:pPr>
      <w:r>
        <w:t>(d) Given orally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Given slowly into a large vein (hypertonic, irritant)</w:t>
      </w:r>
    </w:p>
    <w:p>
      <w:pPr>
        <w:spacing w:after="200" w:line="276" w:lineRule="auto"/>
      </w:pPr>
      <w:r>
        <w:t>🧠 Clinical Rationale: D50 is hypertonic — give via a secure line and monitor for extravasation.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50%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Given rapidly by push into a small vein — not the correct drug/class for this indication</w:t>
      </w:r>
    </w:p>
    <w:p>
      <w:pPr>
        <w:spacing w:after="200" w:line="276" w:lineRule="auto"/>
      </w:pPr>
      <w:r>
        <w:t>C. Mixed with blood — not the correct drug/class for this indication</w:t>
      </w:r>
    </w:p>
    <w:p>
      <w:pPr>
        <w:spacing w:after="200" w:line="276" w:lineRule="auto"/>
      </w:pPr>
      <w:r>
        <w:t>D. Given orally — not the correct drug/class for this indication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Dantrolene is the specific treatment for</w:t>
      </w:r>
    </w:p>
    <w:p>
      <w:pPr>
        <w:spacing w:after="200" w:line="276" w:lineRule="auto"/>
      </w:pPr>
      <w:r>
        <w:t>(a) Seizures</w:t>
      </w:r>
    </w:p>
    <w:p>
      <w:pPr>
        <w:spacing w:after="200" w:line="276" w:lineRule="auto"/>
      </w:pPr>
      <w:r>
        <w:t>(b) Anaphylaxis</w:t>
      </w:r>
    </w:p>
    <w:p>
      <w:pPr>
        <w:spacing w:after="200" w:line="276" w:lineRule="auto"/>
      </w:pPr>
      <w:r>
        <w:t>(c) Malignant hyperthermia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Malignant hyperthermia</w:t>
      </w:r>
    </w:p>
    <w:p>
      <w:pPr>
        <w:spacing w:after="200" w:line="276" w:lineRule="auto"/>
      </w:pPr>
      <w:r>
        <w:t>🧠 Clinical Rationale: Dantrolene 2.5 mg/kg rapidly for MH — stop triggering agents, cool, correct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Seizures — not the correct drug/class for this indication</w:t>
      </w:r>
    </w:p>
    <w:p>
      <w:pPr>
        <w:spacing w:after="200" w:line="276" w:lineRule="auto"/>
      </w:pPr>
      <w:r>
        <w:t>B. Anaphylaxis — not the correct drug/class for this indication</w:t>
      </w:r>
    </w:p>
    <w:p>
      <w:pPr>
        <w:spacing w:after="200" w:line="276" w:lineRule="auto"/>
      </w:pPr>
      <w:r>
        <w:t>D. Bradycardia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initial biphasic defibrillation energy for adult VF/VT is</w:t>
      </w:r>
    </w:p>
    <w:p>
      <w:pPr>
        <w:spacing w:after="200" w:line="276" w:lineRule="auto"/>
      </w:pPr>
      <w:r>
        <w:t>(a) 360 J always</w:t>
      </w:r>
    </w:p>
    <w:p>
      <w:pPr>
        <w:spacing w:after="200" w:line="276" w:lineRule="auto"/>
      </w:pPr>
      <w:r>
        <w:t>(b) 50 J</w:t>
      </w:r>
    </w:p>
    <w:p>
      <w:pPr>
        <w:spacing w:after="200" w:line="276" w:lineRule="auto"/>
      </w:pPr>
      <w:r>
        <w:t>(c) 10 J</w:t>
      </w:r>
    </w:p>
    <w:p>
      <w:pPr>
        <w:spacing w:after="200" w:line="276" w:lineRule="auto"/>
      </w:pPr>
      <w:r>
        <w:t>(d) 120-200 J (per manufacturer)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120-200 J (per manufacturer)</w:t>
      </w:r>
    </w:p>
    <w:p>
      <w:pPr>
        <w:spacing w:after="200" w:line="276" w:lineRule="auto"/>
      </w:pPr>
      <w:r>
        <w:t>🧠 Clinical Rationale: Biphasic 120-200 J (or device-specific); escalate if refractory.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360 J always — plausible, but not the single most accurate fact asked</w:t>
      </w:r>
    </w:p>
    <w:p>
      <w:pPr>
        <w:spacing w:after="200" w:line="276" w:lineRule="auto"/>
      </w:pPr>
      <w:r>
        <w:t>B. 50 J — plausible, but not the single most accurate fact asked</w:t>
      </w:r>
    </w:p>
    <w:p>
      <w:pPr>
        <w:spacing w:after="200" w:line="276" w:lineRule="auto"/>
      </w:pPr>
      <w:r>
        <w:t>C. 10 J — plausible, but not the single most accurate fact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Synchronised cardioversion is used for</w:t>
      </w:r>
    </w:p>
    <w:p>
      <w:pPr>
        <w:spacing w:after="200" w:line="276" w:lineRule="auto"/>
      </w:pPr>
      <w:r>
        <w:t>(a) Stable tachyarrhythmias (AF, flutter, SVT, VT with pulse)</w:t>
      </w:r>
    </w:p>
    <w:p>
      <w:pPr>
        <w:spacing w:after="200" w:line="276" w:lineRule="auto"/>
      </w:pPr>
      <w:r>
        <w:t>(b) VF (unsynchronised needed)</w:t>
      </w:r>
    </w:p>
    <w:p>
      <w:pPr>
        <w:spacing w:after="200" w:line="276" w:lineRule="auto"/>
      </w:pPr>
      <w:r>
        <w:t>(c) Asystole</w:t>
      </w:r>
    </w:p>
    <w:p>
      <w:pPr>
        <w:spacing w:after="200" w:line="276" w:lineRule="auto"/>
      </w:pPr>
      <w:r>
        <w:t>(d) PEA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Stable tachyarrhythmias (AF, flutter, SVT, VT with pulse)</w:t>
      </w:r>
    </w:p>
    <w:p>
      <w:pPr>
        <w:spacing w:after="200" w:line="276" w:lineRule="auto"/>
      </w:pPr>
      <w:r>
        <w:t>🧠 Clinical Rationale: Sync the shock to the QRS to avoid inducing VF; VF always uses unsynchronised shocks.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VF (unsynchronised needed) — a related concept, but it does not match the defining feature asked</w:t>
      </w:r>
    </w:p>
    <w:p>
      <w:pPr>
        <w:spacing w:after="200" w:line="276" w:lineRule="auto"/>
      </w:pPr>
      <w:r>
        <w:t>C. Asystole — a related concept, but it does not match the defining feature asked</w:t>
      </w:r>
    </w:p>
    <w:p>
      <w:pPr>
        <w:spacing w:after="200" w:line="276" w:lineRule="auto"/>
      </w:pPr>
      <w:r>
        <w:t>D. PEA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Transcutaneous pacing is indicated for</w:t>
      </w:r>
    </w:p>
    <w:p>
      <w:pPr>
        <w:spacing w:after="200" w:line="276" w:lineRule="auto"/>
      </w:pPr>
      <w:r>
        <w:t>(a) Sinus tachycardia</w:t>
      </w:r>
    </w:p>
    <w:p>
      <w:pPr>
        <w:spacing w:after="200" w:line="276" w:lineRule="auto"/>
      </w:pPr>
      <w:r>
        <w:t>(b) VF</w:t>
      </w:r>
    </w:p>
    <w:p>
      <w:pPr>
        <w:spacing w:after="200" w:line="276" w:lineRule="auto"/>
      </w:pPr>
      <w:r>
        <w:t>(c) AF</w:t>
      </w:r>
    </w:p>
    <w:p>
      <w:pPr>
        <w:spacing w:after="200" w:line="276" w:lineRule="auto"/>
      </w:pPr>
      <w:r>
        <w:t>(d) Symptomatic bradycardia unresponsive to atropine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Symptomatic bradycardia unresponsive to atropine</w:t>
      </w:r>
    </w:p>
    <w:p>
      <w:pPr>
        <w:spacing w:after="200" w:line="276" w:lineRule="auto"/>
      </w:pPr>
      <w:r>
        <w:t>🧠 Clinical Rationale: Pace symptomatic high-grade blocks/bradycardia; sedation may be needed for discomfort.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Sinus tachycardia — does not match the characteristic feature/management described in the stem</w:t>
      </w:r>
    </w:p>
    <w:p>
      <w:pPr>
        <w:spacing w:after="200" w:line="276" w:lineRule="auto"/>
      </w:pPr>
      <w:r>
        <w:t>B. VF — does not match the characteristic feature/management described in the stem</w:t>
      </w:r>
    </w:p>
    <w:p>
      <w:pPr>
        <w:spacing w:after="200" w:line="276" w:lineRule="auto"/>
      </w:pPr>
      <w:r>
        <w:t>C. AF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cardiac arrest, IV access is established via</w:t>
      </w:r>
    </w:p>
    <w:p>
      <w:pPr>
        <w:spacing w:after="200" w:line="276" w:lineRule="auto"/>
      </w:pPr>
      <w:r>
        <w:t>(a) Oral route</w:t>
      </w:r>
    </w:p>
    <w:p>
      <w:pPr>
        <w:spacing w:after="200" w:line="276" w:lineRule="auto"/>
      </w:pPr>
      <w:r>
        <w:t>(b) Subcutaneous</w:t>
      </w:r>
    </w:p>
    <w:p>
      <w:pPr>
        <w:spacing w:after="200" w:line="276" w:lineRule="auto"/>
      </w:pPr>
      <w:r>
        <w:t>(c) Peripheral IV or intraosseous (IO) if IV fails</w:t>
      </w:r>
    </w:p>
    <w:p>
      <w:pPr>
        <w:spacing w:after="200" w:line="276" w:lineRule="auto"/>
      </w:pPr>
      <w:r>
        <w:t>(d) Rectal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Peripheral IV or intraosseous (IO) if IV fails</w:t>
      </w:r>
    </w:p>
    <w:p>
      <w:pPr>
        <w:spacing w:after="200" w:line="276" w:lineRule="auto"/>
      </w:pPr>
      <w:r>
        <w:t>🧠 Clinical Rationale: IO access is a rapid alternative when peripheral IV fails — drugs via IO work like IV.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route — does not match the characteristic feature/management described in the stem</w:t>
      </w:r>
    </w:p>
    <w:p>
      <w:pPr>
        <w:spacing w:after="200" w:line="276" w:lineRule="auto"/>
      </w:pPr>
      <w:r>
        <w:t>B. Subcutaneous — does not match the characteristic feature/management described in the stem</w:t>
      </w:r>
    </w:p>
    <w:p>
      <w:pPr>
        <w:spacing w:after="200" w:line="276" w:lineRule="auto"/>
      </w:pPr>
      <w:r>
        <w:t>D. Rectal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IV/IO access is impossible, adrenaline can be given via the ET tube at</w:t>
      </w:r>
    </w:p>
    <w:p>
      <w:pPr>
        <w:spacing w:after="200" w:line="276" w:lineRule="auto"/>
      </w:pPr>
      <w:r>
        <w:t>(a) The same dose</w:t>
      </w:r>
    </w:p>
    <w:p>
      <w:pPr>
        <w:spacing w:after="200" w:line="276" w:lineRule="auto"/>
      </w:pPr>
      <w:r>
        <w:t>(b) Half the dose</w:t>
      </w:r>
    </w:p>
    <w:p>
      <w:pPr>
        <w:spacing w:after="200" w:line="276" w:lineRule="auto"/>
      </w:pPr>
      <w:r>
        <w:t>(c) 10 mg</w:t>
      </w:r>
    </w:p>
    <w:p>
      <w:pPr>
        <w:spacing w:after="200" w:line="276" w:lineRule="auto"/>
      </w:pPr>
      <w:r>
        <w:t>(d) 2-2.5 times the IV dose (2-2.5 mg)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2-2.5 times the IV dose (2-2.5 mg)</w:t>
      </w:r>
    </w:p>
    <w:p>
      <w:pPr>
        <w:spacing w:after="200" w:line="276" w:lineRule="auto"/>
      </w:pPr>
      <w:r>
        <w:t>🧠 Clinical Rationale: ET drug delivery is less reliable — 2-2.5× IV dose diluted; IV/IO is preferred.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same dose — not the correct drug/class for this indication</w:t>
      </w:r>
    </w:p>
    <w:p>
      <w:pPr>
        <w:spacing w:after="200" w:line="276" w:lineRule="auto"/>
      </w:pPr>
      <w:r>
        <w:t>B. Half the dose — not the correct drug/class for this indication</w:t>
      </w:r>
    </w:p>
    <w:p>
      <w:pPr>
        <w:spacing w:after="200" w:line="276" w:lineRule="auto"/>
      </w:pPr>
      <w:r>
        <w:t>C. 10 mg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ROSC, the blood pressure goal is</w:t>
      </w:r>
    </w:p>
    <w:p>
      <w:pPr>
        <w:spacing w:after="200" w:line="276" w:lineRule="auto"/>
      </w:pPr>
      <w:r>
        <w:t>(a) SBP 60</w:t>
      </w:r>
    </w:p>
    <w:p>
      <w:pPr>
        <w:spacing w:after="200" w:line="276" w:lineRule="auto"/>
      </w:pPr>
      <w:r>
        <w:t>(b) SBP ≥90 mmHg or MAP ≥65 mmHg (vasopressors as needed)</w:t>
      </w:r>
    </w:p>
    <w:p>
      <w:pPr>
        <w:spacing w:after="200" w:line="276" w:lineRule="auto"/>
      </w:pPr>
      <w:r>
        <w:t>(c) No BP control</w:t>
      </w:r>
    </w:p>
    <w:p>
      <w:pPr>
        <w:spacing w:after="200" w:line="276" w:lineRule="auto"/>
      </w:pPr>
      <w:r>
        <w:t>(d) MAP 40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SBP ≥90 mmHg or MAP ≥65 mmHg (vasopressors as needed)</w:t>
      </w:r>
    </w:p>
    <w:p>
      <w:pPr>
        <w:spacing w:after="200" w:line="276" w:lineRule="auto"/>
      </w:pPr>
      <w:r>
        <w:t>🧠 Clinical Rationale: Maintain perfusion with fluids/vasopressors; avoid both hypotension and excessive hypertension.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SBP 60 — does not match the characteristic feature/management described in the stem</w:t>
      </w:r>
    </w:p>
    <w:p>
      <w:pPr>
        <w:spacing w:after="200" w:line="276" w:lineRule="auto"/>
      </w:pPr>
      <w:r>
        <w:t>C. No BP control — does not match the characteristic feature/management described in the stem</w:t>
      </w:r>
    </w:p>
    <w:p>
      <w:pPr>
        <w:spacing w:after="200" w:line="276" w:lineRule="auto"/>
      </w:pPr>
      <w:r>
        <w:t>D. MAP 40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ROSC, the recommended oxygen saturation target is</w:t>
      </w:r>
    </w:p>
    <w:p>
      <w:pPr>
        <w:spacing w:after="200" w:line="276" w:lineRule="auto"/>
      </w:pPr>
      <w:r>
        <w:t>(a) 92-98% (avoid hyperoxia)</w:t>
      </w:r>
    </w:p>
    <w:p>
      <w:pPr>
        <w:spacing w:after="200" w:line="276" w:lineRule="auto"/>
      </w:pPr>
      <w:r>
        <w:t>(b) 100% at all costs</w:t>
      </w:r>
    </w:p>
    <w:p>
      <w:pPr>
        <w:spacing w:after="200" w:line="276" w:lineRule="auto"/>
      </w:pPr>
      <w:r>
        <w:t>(c) 80-85%</w:t>
      </w:r>
    </w:p>
    <w:p>
      <w:pPr>
        <w:spacing w:after="200" w:line="276" w:lineRule="auto"/>
      </w:pPr>
      <w:r>
        <w:t>(d) No oxygen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92-98% (avoid hyperoxia)</w:t>
      </w:r>
    </w:p>
    <w:p>
      <w:pPr>
        <w:spacing w:after="200" w:line="276" w:lineRule="auto"/>
      </w:pPr>
      <w:r>
        <w:t>🧠 Clinical Rationale: Titrate oxygen to 92-98%; hyperoxia can worsen neurological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100% at all costs — does not match the characteristic feature/management described in the stem</w:t>
      </w:r>
    </w:p>
    <w:p>
      <w:pPr>
        <w:spacing w:after="200" w:line="276" w:lineRule="auto"/>
      </w:pPr>
      <w:r>
        <w:t>C. 80-85% — does not match the characteristic feature/management described in the stem</w:t>
      </w:r>
    </w:p>
    <w:p>
      <w:pPr>
        <w:spacing w:after="200" w:line="276" w:lineRule="auto"/>
      </w:pPr>
      <w:r>
        <w:t>D. No oxygen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'Hs and Ts' of cardiac arrest include</w:t>
      </w:r>
    </w:p>
    <w:p>
      <w:pPr>
        <w:spacing w:after="200" w:line="276" w:lineRule="auto"/>
      </w:pPr>
      <w:r>
        <w:t>(a) Hunger and thirst only</w:t>
      </w:r>
    </w:p>
    <w:p>
      <w:pPr>
        <w:spacing w:after="200" w:line="276" w:lineRule="auto"/>
      </w:pPr>
      <w:r>
        <w:t>(b) Hypoxia, hypovolaemia, hyper/hypokalaemia, hypothermia, thrombosis, tamponade, tension pneumothorax, toxins</w:t>
      </w:r>
    </w:p>
    <w:p>
      <w:pPr>
        <w:spacing w:after="200" w:line="276" w:lineRule="auto"/>
      </w:pPr>
      <w:r>
        <w:t>(c) Headache and tiredness</w:t>
      </w:r>
    </w:p>
    <w:p>
      <w:pPr>
        <w:spacing w:after="200" w:line="276" w:lineRule="auto"/>
      </w:pPr>
      <w:r>
        <w:t>(d) No causes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Hypoxia, hypovolaemia, hyper/hypokalaemia, hypothermia, thrombosis, tamponade, tension pneumothorax, toxins</w:t>
      </w:r>
    </w:p>
    <w:p>
      <w:pPr>
        <w:spacing w:after="200" w:line="276" w:lineRule="auto"/>
      </w:pPr>
      <w:r>
        <w:t>🧠 Clinical Rationale: Treating reversible causes is essential in all arrest rhythms.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Hunger and thirst only — a related concept, but it does not match the defining feature asked</w:t>
      </w:r>
    </w:p>
    <w:p>
      <w:pPr>
        <w:spacing w:after="200" w:line="276" w:lineRule="auto"/>
      </w:pPr>
      <w:r>
        <w:t>C. Headache and tiredness — a related concept, but it does not match the defining feature asked</w:t>
      </w:r>
    </w:p>
    <w:p>
      <w:pPr>
        <w:spacing w:after="200" w:line="276" w:lineRule="auto"/>
      </w:pPr>
      <w:r>
        <w:t>D. No causes — a related concept, but it does not match the defining feature asked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first-line antiemetic for chemotherapy-induced nausea is</w:t>
      </w:r>
    </w:p>
    <w:p>
      <w:pPr>
        <w:spacing w:after="200" w:line="276" w:lineRule="auto"/>
      </w:pPr>
      <w:r>
        <w:t>(a) Digoxin</w:t>
      </w:r>
    </w:p>
    <w:p>
      <w:pPr>
        <w:spacing w:after="200" w:line="276" w:lineRule="auto"/>
      </w:pPr>
      <w:r>
        <w:t>(b) Furosemide</w:t>
      </w:r>
    </w:p>
    <w:p>
      <w:pPr>
        <w:spacing w:after="200" w:line="276" w:lineRule="auto"/>
      </w:pPr>
      <w:r>
        <w:t>(c) Ondansetron (5-HT3 antagonist)</w:t>
      </w:r>
    </w:p>
    <w:p>
      <w:pPr>
        <w:spacing w:after="200" w:line="276" w:lineRule="auto"/>
      </w:pPr>
      <w:r>
        <w:t>(d) Atenolol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Ondansetron (5-HT3 antagonist)</w:t>
      </w:r>
    </w:p>
    <w:p>
      <w:pPr>
        <w:spacing w:after="200" w:line="276" w:lineRule="auto"/>
      </w:pPr>
      <w:r>
        <w:t>🧠 Clinical Rationale: Ondansetron blocks 5-HT3 receptors; give before chemo and monitor QT.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Nausea — GI effect / drug toxicity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Digoxin — not the correct drug/class for this indication</w:t>
      </w:r>
    </w:p>
    <w:p>
      <w:pPr>
        <w:spacing w:after="200" w:line="276" w:lineRule="auto"/>
      </w:pPr>
      <w:r>
        <w:t>B. Furosemide — not the correct drug/class for this indication</w:t>
      </w:r>
    </w:p>
    <w:p>
      <w:pPr>
        <w:spacing w:after="200" w:line="276" w:lineRule="auto"/>
      </w:pPr>
      <w:r>
        <w:t>D. Atenolol — not the correct drug/class for this indication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monitors a patient on morphine for</w:t>
      </w:r>
    </w:p>
    <w:p>
      <w:pPr>
        <w:spacing w:after="200" w:line="276" w:lineRule="auto"/>
      </w:pPr>
      <w:r>
        <w:t>(a) Respiratory depression, sedation and hypotension</w:t>
      </w:r>
    </w:p>
    <w:p>
      <w:pPr>
        <w:spacing w:after="200" w:line="276" w:lineRule="auto"/>
      </w:pPr>
      <w:r>
        <w:t>(b) Tachycardia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Diarrhoea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Respiratory depression, sedation and hypotension</w:t>
      </w:r>
    </w:p>
    <w:p>
      <w:pPr>
        <w:spacing w:after="200" w:line="276" w:lineRule="auto"/>
      </w:pPr>
      <w:r>
        <w:t>🧠 Clinical Rationale: Opioids depress the respiratory centre — monitor rate/depth and sedation; naloxone reverses.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Tachycardia — not the correct drug/class for this indication</w:t>
      </w:r>
    </w:p>
    <w:p>
      <w:pPr>
        <w:spacing w:after="200" w:line="276" w:lineRule="auto"/>
      </w:pPr>
      <w:r>
        <w:t>C. Hypertension — not the correct drug/class for this indication</w:t>
      </w:r>
    </w:p>
    <w:p>
      <w:pPr>
        <w:spacing w:after="200" w:line="276" w:lineRule="auto"/>
      </w:pPr>
      <w:r>
        <w:t>D. Diarrhoea — not the correct drug/class for this indication</w:t>
      </w:r>
    </w:p>
    <w:p>
      <w:pPr>
        <w:spacing w:after="200" w:line="276" w:lineRule="auto"/>
      </w:pPr>
      <w:r>
        <w:t>⚠️ Exam Trap: The morphine option is tested as: respiratory depression (monitor RR) + naloxone antidote — not tachycardia or hypertension.</w:t>
      </w:r>
    </w:p>
    <w:p>
      <w:pPr>
        <w:spacing w:after="200" w:line="276" w:lineRule="auto"/>
      </w:pPr>
      <w:r>
        <w:t>💎 PNC Pearl: Morphine's most dangerous adverse effect is respiratory depression — monitor rate &lt; 12/min; antidote is naloxone.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Morphine</w:t>
      </w:r>
    </w:p>
    <w:p>
      <w:pPr>
        <w:spacing w:after="200" w:line="276" w:lineRule="auto"/>
      </w:pPr>
      <w:r>
        <w:t>→ Major adverse effect: Respiratory depression (RR &lt; 12/min)</w:t>
      </w:r>
    </w:p>
    <w:p>
      <w:pPr>
        <w:spacing w:after="200" w:line="276" w:lineRule="auto"/>
      </w:pPr>
      <w:r>
        <w:t>→ Antidote: Naloxone (Narcan)</w:t>
      </w:r>
    </w:p>
    <w:p>
      <w:pPr>
        <w:spacing w:after="200" w:line="276" w:lineRule="auto"/>
      </w:pPr>
      <w:r>
        <w:t>→ Other effects: constipation, sedation, orthostatic hypotension, urinary retention</w:t>
      </w:r>
    </w:p>
    <w:p>
      <w:pPr>
        <w:spacing w:after="200" w:line="276" w:lineRule="auto"/>
      </w:pPr>
      <w:r>
        <w:t>→ Caution in: COPD, head injury, asthma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treatment for status epilepticus is</w:t>
      </w:r>
    </w:p>
    <w:p>
      <w:pPr>
        <w:spacing w:after="200" w:line="276" w:lineRule="auto"/>
      </w:pPr>
      <w:r>
        <w:t>(a) Oral paracetamol</w:t>
      </w:r>
    </w:p>
    <w:p>
      <w:pPr>
        <w:spacing w:after="200" w:line="276" w:lineRule="auto"/>
      </w:pPr>
      <w:r>
        <w:t>(b) IM vitamins</w:t>
      </w:r>
    </w:p>
    <w:p>
      <w:pPr>
        <w:spacing w:after="200" w:line="276" w:lineRule="auto"/>
      </w:pPr>
      <w:r>
        <w:t>(c) IV benzodiazepine (lorazepam/diazepam) then an anticonvulsant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benzodiazepine (lorazepam/diazepam) then an anticonvulsant</w:t>
      </w:r>
    </w:p>
    <w:p>
      <w:pPr>
        <w:spacing w:after="200" w:line="276" w:lineRule="auto"/>
      </w:pPr>
      <w:r>
        <w:t>🧠 Clinical Rationale: Benzodiazepines first, then phenytoin/levetiracetam; treat the cause and protect airway.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paracetamol — not the correct drug/class for this indication</w:t>
      </w:r>
    </w:p>
    <w:p>
      <w:pPr>
        <w:spacing w:after="200" w:line="276" w:lineRule="auto"/>
      </w:pPr>
      <w:r>
        <w:t>B. IM vitamins — not the correct drug/class for this indication</w:t>
      </w:r>
    </w:p>
    <w:p>
      <w:pPr>
        <w:spacing w:after="200" w:line="276" w:lineRule="auto"/>
      </w:pPr>
      <w:r>
        <w:t>D. Observation — not the correct drug/class for this indication</w:t>
      </w:r>
    </w:p>
    <w:p>
      <w:pPr>
        <w:spacing w:after="200" w:line="276" w:lineRule="auto"/>
      </w:pPr>
      <w:r>
        <w:t>⚠️ Exam Trap: First-line drug for status epilepticus is a benzodiazepine, followed by phenytoin — not waiting or giving oral drugs.</w:t>
      </w:r>
    </w:p>
    <w:p>
      <w:pPr>
        <w:spacing w:after="200" w:line="276" w:lineRule="auto"/>
      </w:pPr>
      <w:r>
        <w:t>💎 PNC Pearl: Status epilepticus (seizure ≥ 5 min or repeated without recovery) → IV benzodiazepine (lorazepam/diazepam)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Status epilepticus</w:t>
      </w:r>
    </w:p>
    <w:p>
      <w:pPr>
        <w:spacing w:after="200" w:line="276" w:lineRule="auto"/>
      </w:pPr>
      <w:r>
        <w:t>→ First: IV lorazepam (or diazepam) — benzodiazepine</w:t>
      </w:r>
    </w:p>
    <w:p>
      <w:pPr>
        <w:spacing w:after="200" w:line="276" w:lineRule="auto"/>
      </w:pPr>
      <w:r>
        <w:t>→ Second: phenytoin/fosphenytoin IV</w:t>
      </w:r>
    </w:p>
    <w:p>
      <w:pPr>
        <w:spacing w:after="200" w:line="276" w:lineRule="auto"/>
      </w:pPr>
      <w:r>
        <w:t>→ Support: ABC, oxygen, glucose check, side-lying</w:t>
      </w:r>
    </w:p>
    <w:p>
      <w:pPr>
        <w:spacing w:after="200" w:line="276" w:lineRule="auto"/>
      </w:pPr>
      <w:r>
        <w:t>→ A treatable cause may be hypoglycaemia — check glucose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phenytoin must be given</w:t>
      </w:r>
    </w:p>
    <w:p>
      <w:pPr>
        <w:spacing w:after="200" w:line="276" w:lineRule="auto"/>
      </w:pPr>
      <w:r>
        <w:t>(a) Rapidly by push</w:t>
      </w:r>
    </w:p>
    <w:p>
      <w:pPr>
        <w:spacing w:after="200" w:line="276" w:lineRule="auto"/>
      </w:pPr>
      <w:r>
        <w:t>(b) In dextrose</w:t>
      </w:r>
    </w:p>
    <w:p>
      <w:pPr>
        <w:spacing w:after="200" w:line="276" w:lineRule="auto"/>
      </w:pPr>
      <w:r>
        <w:t>(c) Slowly with saline (precipitates in dextrose) and cardiac monitoring</w:t>
      </w:r>
    </w:p>
    <w:p>
      <w:pPr>
        <w:spacing w:after="200" w:line="276" w:lineRule="auto"/>
      </w:pPr>
      <w:r>
        <w:t>(d) With other drugs mixed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Slowly with saline (precipitates in dextrose) and cardiac monitoring</w:t>
      </w:r>
    </w:p>
    <w:p>
      <w:pPr>
        <w:spacing w:after="200" w:line="276" w:lineRule="auto"/>
      </w:pPr>
      <w:r>
        <w:t>🧠 Clinical Rationale: Phenytoin is incompatible with dextrose and causes arrhythmias if given fast.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Rapidly by push — not the correct drug/class for this indication</w:t>
      </w:r>
    </w:p>
    <w:p>
      <w:pPr>
        <w:spacing w:after="200" w:line="276" w:lineRule="auto"/>
      </w:pPr>
      <w:r>
        <w:t>B. In dextrose — not the correct drug/class for this indication</w:t>
      </w:r>
    </w:p>
    <w:p>
      <w:pPr>
        <w:spacing w:after="200" w:line="276" w:lineRule="auto"/>
      </w:pPr>
      <w:r>
        <w:t>D. With other drugs mixed — not the correct drug/class for this indication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Hypertonic saline (3%) is used in raised ICP because it</w:t>
      </w:r>
    </w:p>
    <w:p>
      <w:pPr>
        <w:spacing w:after="200" w:line="276" w:lineRule="auto"/>
      </w:pPr>
      <w:r>
        <w:t>(a) Cools the brain</w:t>
      </w:r>
    </w:p>
    <w:p>
      <w:pPr>
        <w:spacing w:after="200" w:line="276" w:lineRule="auto"/>
      </w:pPr>
      <w:r>
        <w:t>(b) Creates an osmotic gradient that shrinks the brain without causing diuresis</w:t>
      </w:r>
    </w:p>
    <w:p>
      <w:pPr>
        <w:spacing w:after="200" w:line="276" w:lineRule="auto"/>
      </w:pPr>
      <w:r>
        <w:t>(c) Sedates the patient</w:t>
      </w:r>
    </w:p>
    <w:p>
      <w:pPr>
        <w:spacing w:after="200" w:line="276" w:lineRule="auto"/>
      </w:pPr>
      <w:r>
        <w:t>(d) Vasodilates cerebral vessels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Creates an osmotic gradient that shrinks the brain without causing diuresis</w:t>
      </w:r>
    </w:p>
    <w:p>
      <w:pPr>
        <w:spacing w:after="200" w:line="276" w:lineRule="auto"/>
      </w:pPr>
      <w:r>
        <w:t>🧠 Clinical Rationale: Hypertonic saline lowers ICP effectively and preserves blood volume — preferred in hypovolaemic patients.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3%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Cools the brain — not the correct drug/class for this indication</w:t>
      </w:r>
    </w:p>
    <w:p>
      <w:pPr>
        <w:spacing w:after="200" w:line="276" w:lineRule="auto"/>
      </w:pPr>
      <w:r>
        <w:t>C. Sedates the patient — not the correct drug/class for this indication</w:t>
      </w:r>
    </w:p>
    <w:p>
      <w:pPr>
        <w:spacing w:after="200" w:line="276" w:lineRule="auto"/>
      </w:pPr>
      <w:r>
        <w:t>D. Vasodilates cerebral vessels — not the correct drug/class for this indication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Streptokinase is used for</w:t>
      </w:r>
    </w:p>
    <w:p>
      <w:pPr>
        <w:spacing w:after="200" w:line="276" w:lineRule="auto"/>
      </w:pPr>
      <w:r>
        <w:t>(a) Anticoagulation</w:t>
      </w:r>
    </w:p>
    <w:p>
      <w:pPr>
        <w:spacing w:after="200" w:line="276" w:lineRule="auto"/>
      </w:pPr>
      <w:r>
        <w:t>(b) Analgesia</w:t>
      </w:r>
    </w:p>
    <w:p>
      <w:pPr>
        <w:spacing w:after="200" w:line="276" w:lineRule="auto"/>
      </w:pPr>
      <w:r>
        <w:t>(c) Diuresis</w:t>
      </w:r>
    </w:p>
    <w:p>
      <w:pPr>
        <w:spacing w:after="200" w:line="276" w:lineRule="auto"/>
      </w:pPr>
      <w:r>
        <w:t>(d) Fibrinolysis in STEMI/PE (when PCI unavailable) — fibrinolytic therapy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Fibrinolysis in STEMI/PE (when PCI unavailable) — fibrinolytic therapy</w:t>
      </w:r>
    </w:p>
    <w:p>
      <w:pPr>
        <w:spacing w:after="200" w:line="276" w:lineRule="auto"/>
      </w:pPr>
      <w:r>
        <w:t>🧠 Clinical Rationale: Fibrinolytics dissolve clots; weigh bleeding risk and timing.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Anticoagulation — not the correct drug/class for this indication</w:t>
      </w:r>
    </w:p>
    <w:p>
      <w:pPr>
        <w:spacing w:after="200" w:line="276" w:lineRule="auto"/>
      </w:pPr>
      <w:r>
        <w:t>B. Analgesia — not the correct drug/class for this indication</w:t>
      </w:r>
    </w:p>
    <w:p>
      <w:pPr>
        <w:spacing w:after="200" w:line="276" w:lineRule="auto"/>
      </w:pPr>
      <w:r>
        <w:t>C. Diuresis — not the correct drug/class for this indication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is the first-line uterotonic for PPH because it</w:t>
      </w:r>
    </w:p>
    <w:p>
      <w:pPr>
        <w:spacing w:after="200" w:line="276" w:lineRule="auto"/>
      </w:pPr>
      <w:r>
        <w:t>(a) Raises blood sugar</w:t>
      </w:r>
    </w:p>
    <w:p>
      <w:pPr>
        <w:spacing w:after="200" w:line="276" w:lineRule="auto"/>
      </w:pPr>
      <w:r>
        <w:t>(b) Sedates</w:t>
      </w:r>
    </w:p>
    <w:p>
      <w:pPr>
        <w:spacing w:after="200" w:line="276" w:lineRule="auto"/>
      </w:pPr>
      <w:r>
        <w:t>(c) Prevents infection</w:t>
      </w:r>
    </w:p>
    <w:p>
      <w:pPr>
        <w:spacing w:after="200" w:line="276" w:lineRule="auto"/>
      </w:pPr>
      <w:r>
        <w:t>(d) Causes strong uterine contraction to control atonic bleeding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Causes strong uterine contraction to control atonic bleeding</w:t>
      </w:r>
    </w:p>
    <w:p>
      <w:pPr>
        <w:spacing w:after="200" w:line="276" w:lineRule="auto"/>
      </w:pPr>
      <w:r>
        <w:t>🧠 Clinical Rationale: Oxytocin 10 IU IM/IV (slow) after delivery of the placenta; watch for water intoxication.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Raises blood sugar — not the correct drug/class for this indication</w:t>
      </w:r>
    </w:p>
    <w:p>
      <w:pPr>
        <w:spacing w:after="200" w:line="276" w:lineRule="auto"/>
      </w:pPr>
      <w:r>
        <w:t>B. Sedates — not the correct drug/class for this indication</w:t>
      </w:r>
    </w:p>
    <w:p>
      <w:pPr>
        <w:spacing w:after="200" w:line="276" w:lineRule="auto"/>
      </w:pPr>
      <w:r>
        <w:t>C. Prevents infection — not the correct drug/class for this indication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Methylergometrine (Methergine) is CONTRAINDICATED in</w:t>
      </w:r>
    </w:p>
    <w:p>
      <w:pPr>
        <w:spacing w:after="200" w:line="276" w:lineRule="auto"/>
      </w:pPr>
      <w:r>
        <w:t>(a) Hypertension and preeclampsia (vasoconstriction)</w:t>
      </w:r>
    </w:p>
    <w:p>
      <w:pPr>
        <w:spacing w:after="200" w:line="276" w:lineRule="auto"/>
      </w:pPr>
      <w:r>
        <w:t>(b) Atonic uterus</w:t>
      </w:r>
    </w:p>
    <w:p>
      <w:pPr>
        <w:spacing w:after="200" w:line="276" w:lineRule="auto"/>
      </w:pPr>
      <w:r>
        <w:t>(c) Low BP</w:t>
      </w:r>
    </w:p>
    <w:p>
      <w:pPr>
        <w:spacing w:after="200" w:line="276" w:lineRule="auto"/>
      </w:pPr>
      <w:r>
        <w:t>(d) Postpartum bleeding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Hypertension and preeclampsia (vasoconstriction)</w:t>
      </w:r>
    </w:p>
    <w:p>
      <w:pPr>
        <w:spacing w:after="200" w:line="276" w:lineRule="auto"/>
      </w:pPr>
      <w:r>
        <w:t>🧠 Clinical Rationale: Methergine raises BP — avoid in hypertensive/preeclamptic women; carboprost alternatives exist.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Atonic uterus — not the correct drug/class for this indication</w:t>
      </w:r>
    </w:p>
    <w:p>
      <w:pPr>
        <w:spacing w:after="200" w:line="276" w:lineRule="auto"/>
      </w:pPr>
      <w:r>
        <w:t>C. Low BP — not the correct drug/class for this indication</w:t>
      </w:r>
    </w:p>
    <w:p>
      <w:pPr>
        <w:spacing w:after="200" w:line="276" w:lineRule="auto"/>
      </w:pPr>
      <w:r>
        <w:t>D. Postpartum bleeding — not the correct drug/class for this indication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adverse effect of salbutamol nebulisation is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Tachycardia and tremor</w:t>
      </w:r>
    </w:p>
    <w:p>
      <w:pPr>
        <w:spacing w:after="200" w:line="276" w:lineRule="auto"/>
      </w:pPr>
      <w:r>
        <w:t>(c) Hypoglycaemia</w:t>
      </w:r>
    </w:p>
    <w:p>
      <w:pPr>
        <w:spacing w:after="200" w:line="276" w:lineRule="auto"/>
      </w:pPr>
      <w:r>
        <w:t>(d) Sedation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Tachycardia and tremor</w:t>
      </w:r>
    </w:p>
    <w:p>
      <w:pPr>
        <w:spacing w:after="200" w:line="276" w:lineRule="auto"/>
      </w:pPr>
      <w:r>
        <w:t>🧠 Clinical Rationale: Beta-2 agonists cause tremor, palpitations and hypokalaemia — monitor.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not the correct drug/class for this indication</w:t>
      </w:r>
    </w:p>
    <w:p>
      <w:pPr>
        <w:spacing w:after="200" w:line="276" w:lineRule="auto"/>
      </w:pPr>
      <w:r>
        <w:t>C. Hypoglycaemia — not the correct drug/class for this indication</w:t>
      </w:r>
    </w:p>
    <w:p>
      <w:pPr>
        <w:spacing w:after="200" w:line="276" w:lineRule="auto"/>
      </w:pPr>
      <w:r>
        <w:t>D. Sedation — not the correct drug/class for this indication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specific antidote for severe digoxin toxicity is</w:t>
      </w:r>
    </w:p>
    <w:p>
      <w:pPr>
        <w:spacing w:after="200" w:line="276" w:lineRule="auto"/>
      </w:pPr>
      <w:r>
        <w:t>(a) Flumazenil</w:t>
      </w:r>
    </w:p>
    <w:p>
      <w:pPr>
        <w:spacing w:after="200" w:line="276" w:lineRule="auto"/>
      </w:pPr>
      <w:r>
        <w:t>(b) Digoxin-specific Fab antibodies (Digibind)</w:t>
      </w:r>
    </w:p>
    <w:p>
      <w:pPr>
        <w:spacing w:after="200" w:line="276" w:lineRule="auto"/>
      </w:pPr>
      <w:r>
        <w:t>(c) Naloxone</w:t>
      </w:r>
    </w:p>
    <w:p>
      <w:pPr>
        <w:spacing w:after="200" w:line="276" w:lineRule="auto"/>
      </w:pPr>
      <w:r>
        <w:t>(d) Atropine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Digoxin-specific Fab antibodies (Digibind)</w:t>
      </w:r>
    </w:p>
    <w:p>
      <w:pPr>
        <w:spacing w:after="200" w:line="276" w:lineRule="auto"/>
      </w:pPr>
      <w:r>
        <w:t>🧠 Clinical Rationale: Digoxin immune Fab binds digoxin; also correct potassium.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Flumazenil — not the correct drug/class for this indication</w:t>
      </w:r>
    </w:p>
    <w:p>
      <w:pPr>
        <w:spacing w:after="200" w:line="276" w:lineRule="auto"/>
      </w:pPr>
      <w:r>
        <w:t>C. Naloxone — not the correct drug/class for this indication</w:t>
      </w:r>
    </w:p>
    <w:p>
      <w:pPr>
        <w:spacing w:after="200" w:line="276" w:lineRule="auto"/>
      </w:pPr>
      <w:r>
        <w:t>D. Atropine — not the correct drug/class for this indication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