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For a snakebitten child, the nurse should</w:t>
      </w:r>
    </w:p>
    <w:p>
      <w:pPr>
        <w:spacing w:after="200" w:line="276" w:lineRule="auto"/>
      </w:pPr>
      <w:r>
        <w:t>(a) Tight tourniquet</w:t>
      </w:r>
    </w:p>
    <w:p>
      <w:pPr>
        <w:spacing w:after="200" w:line="276" w:lineRule="auto"/>
      </w:pPr>
      <w:r>
        <w:t>(b) Cut the wound</w:t>
      </w:r>
    </w:p>
    <w:p>
      <w:pPr>
        <w:spacing w:after="200" w:line="276" w:lineRule="auto"/>
      </w:pPr>
      <w:r>
        <w:t>(c) Apply ice</w:t>
      </w:r>
    </w:p>
    <w:p>
      <w:pPr>
        <w:spacing w:after="200" w:line="276" w:lineRule="auto"/>
      </w:pPr>
      <w:r>
        <w:t>(d) Immobilise the limb and arrange antivenom promptly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Immobilise the limb and arrange antivenom promptly</w:t>
      </w:r>
    </w:p>
    <w:p>
      <w:pPr>
        <w:spacing w:after="200" w:line="276" w:lineRule="auto"/>
      </w:pPr>
      <w:r>
        <w:t>🧠 Clinical Rationale: Antivenom is definitive; no tourniquet, cutting or suction.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Tight tourniquet — does not match the characteristic feature/management described in the stem</w:t>
      </w:r>
    </w:p>
    <w:p>
      <w:pPr>
        <w:spacing w:after="200" w:line="276" w:lineRule="auto"/>
      </w:pPr>
      <w:r>
        <w:t>B. Cut the wound — does not match the characteristic feature/management described in the stem</w:t>
      </w:r>
    </w:p>
    <w:p>
      <w:pPr>
        <w:spacing w:after="200" w:line="276" w:lineRule="auto"/>
      </w:pPr>
      <w:r>
        <w:t>C. Apply ice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 suspected ingestion, the first assessment is</w:t>
      </w:r>
    </w:p>
    <w:p>
      <w:pPr>
        <w:spacing w:after="200" w:line="276" w:lineRule="auto"/>
      </w:pPr>
      <w:r>
        <w:t>(a) Making the child vomit</w:t>
      </w:r>
    </w:p>
    <w:p>
      <w:pPr>
        <w:spacing w:after="200" w:line="276" w:lineRule="auto"/>
      </w:pPr>
      <w:r>
        <w:t>(b) Giving milk</w:t>
      </w:r>
    </w:p>
    <w:p>
      <w:pPr>
        <w:spacing w:after="200" w:line="276" w:lineRule="auto"/>
      </w:pPr>
      <w:r>
        <w:t>(c) Calling poison control only</w:t>
      </w:r>
    </w:p>
    <w:p>
      <w:pPr>
        <w:spacing w:after="200" w:line="276" w:lineRule="auto"/>
      </w:pPr>
      <w:r>
        <w:t>(d) Airway, breathing and circulation, then identify the substance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Airway, breathing and circulation, then identify the substance</w:t>
      </w:r>
    </w:p>
    <w:p>
      <w:pPr>
        <w:spacing w:after="200" w:line="276" w:lineRule="auto"/>
      </w:pPr>
      <w:r>
        <w:t>🧠 Clinical Rationale: Stabilise ABC first; identify the toxin and consult poison information.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Making the child vomit — would be appropriate in a different situation, not this one</w:t>
      </w:r>
    </w:p>
    <w:p>
      <w:pPr>
        <w:spacing w:after="200" w:line="276" w:lineRule="auto"/>
      </w:pPr>
      <w:r>
        <w:t>B. Giving milk — would be appropriate in a different situation, not this one</w:t>
      </w:r>
    </w:p>
    <w:p>
      <w:pPr>
        <w:spacing w:after="200" w:line="276" w:lineRule="auto"/>
      </w:pPr>
      <w:r>
        <w:t>C. Calling poison control only — would be appropriate in a different situation, not this one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defect is a cyanotic congenital heart disease?</w:t>
      </w:r>
    </w:p>
    <w:p>
      <w:pPr>
        <w:spacing w:after="200" w:line="276" w:lineRule="auto"/>
      </w:pPr>
      <w:r>
        <w:t>(a) Ventricular septal defect</w:t>
      </w:r>
    </w:p>
    <w:p>
      <w:pPr>
        <w:spacing w:after="200" w:line="276" w:lineRule="auto"/>
      </w:pPr>
      <w:r>
        <w:t>(b) Atrial septal defect</w:t>
      </w:r>
    </w:p>
    <w:p>
      <w:pPr>
        <w:spacing w:after="200" w:line="276" w:lineRule="auto"/>
      </w:pPr>
      <w:r>
        <w:t>(c) Tetralogy of Fallot</w:t>
      </w:r>
    </w:p>
    <w:p>
      <w:pPr>
        <w:spacing w:after="200" w:line="276" w:lineRule="auto"/>
      </w:pPr>
      <w:r>
        <w:t>(d) PDA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Tetralogy of Fallot</w:t>
      </w:r>
    </w:p>
    <w:p>
      <w:pPr>
        <w:spacing w:after="200" w:line="276" w:lineRule="auto"/>
      </w:pPr>
      <w:r>
        <w:t>🧠 Clinical Rationale: TOF, transposition, truncus and tricuspid atresia are cyanotic; ASD/VSD/PDA are acyanotic.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Ventricular septal defect — a related concept, but it does not match the defining feature asked</w:t>
      </w:r>
    </w:p>
    <w:p>
      <w:pPr>
        <w:spacing w:after="200" w:line="276" w:lineRule="auto"/>
      </w:pPr>
      <w:r>
        <w:t>B. Atrial septal defect — a related concept, but it does not match the defining feature asked</w:t>
      </w:r>
    </w:p>
    <w:p>
      <w:pPr>
        <w:spacing w:after="200" w:line="276" w:lineRule="auto"/>
      </w:pPr>
      <w:r>
        <w:t>D. PDA — a related concept, but it does not match the defining feature asked</w:t>
      </w:r>
    </w:p>
    <w:p>
      <w:pPr>
        <w:spacing w:after="200" w:line="276" w:lineRule="auto"/>
      </w:pPr>
      <w:r>
        <w:t>⚠️ Exam Trap: Boot-shaped heart + cyanosis = Tetralogy of Fallot; not VSD/ASD/PDA (acyanotic, different X-ray findings).</w:t>
      </w:r>
    </w:p>
    <w:p>
      <w:pPr>
        <w:spacing w:after="200" w:line="276" w:lineRule="auto"/>
      </w:pPr>
      <w:r>
        <w:t>💎 PNC Pearl: Tetralogy of Fallot = 4 defects (PS, VSD, overriding aorta, RVH) → boot-shaped heart on X-ray, squatting, cyanotic spells.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tetralogy of Fallot squats after exercise because it</w:t>
      </w:r>
    </w:p>
    <w:p>
      <w:pPr>
        <w:spacing w:after="200" w:line="276" w:lineRule="auto"/>
      </w:pPr>
      <w:r>
        <w:t>(a) Cools the child</w:t>
      </w:r>
    </w:p>
    <w:p>
      <w:pPr>
        <w:spacing w:after="200" w:line="276" w:lineRule="auto"/>
      </w:pPr>
      <w:r>
        <w:t>(b) Increases systemic vascular resistance and venous return, improving pulmonary flow</w:t>
      </w:r>
    </w:p>
    <w:p>
      <w:pPr>
        <w:spacing w:after="200" w:line="276" w:lineRule="auto"/>
      </w:pPr>
      <w:r>
        <w:t>(c) Is comfortable</w:t>
      </w:r>
    </w:p>
    <w:p>
      <w:pPr>
        <w:spacing w:after="200" w:line="276" w:lineRule="auto"/>
      </w:pPr>
      <w:r>
        <w:t>(d) Reduces oxygen need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Increases systemic vascular resistance and venous return, improving pulmonary flow</w:t>
      </w:r>
    </w:p>
    <w:p>
      <w:pPr>
        <w:spacing w:after="200" w:line="276" w:lineRule="auto"/>
      </w:pPr>
      <w:r>
        <w:t>🧠 Clinical Rationale: Squatting raises afterload, shunting blood to the lungs and relieving the tet spell.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Cools the child — does not match the characteristic feature/management described in the stem</w:t>
      </w:r>
    </w:p>
    <w:p>
      <w:pPr>
        <w:spacing w:after="200" w:line="276" w:lineRule="auto"/>
      </w:pPr>
      <w:r>
        <w:t>C. Is comfortable — does not match the characteristic feature/management described in the stem</w:t>
      </w:r>
    </w:p>
    <w:p>
      <w:pPr>
        <w:spacing w:after="200" w:line="276" w:lineRule="auto"/>
      </w:pPr>
      <w:r>
        <w:t>D. Reduces oxygen need — does not match the characteristic feature/management described in the stem</w:t>
      </w:r>
    </w:p>
    <w:p>
      <w:pPr>
        <w:spacing w:after="200" w:line="276" w:lineRule="auto"/>
      </w:pPr>
      <w:r>
        <w:t>⚠️ Exam Trap: Boot-shaped heart + cyanosis = Tetralogy of Fallot; not VSD/ASD/PDA (acyanotic, different X-ray findings).</w:t>
      </w:r>
    </w:p>
    <w:p>
      <w:pPr>
        <w:spacing w:after="200" w:line="276" w:lineRule="auto"/>
      </w:pPr>
      <w:r>
        <w:t>💎 PNC Pearl: Tetralogy of Fallot = 4 defects (PS, VSD, overriding aorta, RVH) → boot-shaped heart on X-ray, squatting, cyanotic spells.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Tetralogy of Fallot</w:t>
      </w:r>
    </w:p>
    <w:p>
      <w:pPr>
        <w:spacing w:after="200" w:line="276" w:lineRule="auto"/>
      </w:pPr>
      <w:r>
        <w:t>→ 4 defects: Pulmonary stenosis, VSD, Overriding aorta, RV hypertrophy</w:t>
      </w:r>
    </w:p>
    <w:p>
      <w:pPr>
        <w:spacing w:after="200" w:line="276" w:lineRule="auto"/>
      </w:pPr>
      <w:r>
        <w:t>→ Clues: cyanosis, squatting, clubbing, boot-shaped heart (coeur en sabot)</w:t>
      </w:r>
    </w:p>
    <w:p>
      <w:pPr>
        <w:spacing w:after="200" w:line="276" w:lineRule="auto"/>
      </w:pPr>
      <w:r>
        <w:t>→ Tet spell: knee-chest position + oxygen + morphine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heart failure in an infant include</w:t>
      </w:r>
    </w:p>
    <w:p>
      <w:pPr>
        <w:spacing w:after="200" w:line="276" w:lineRule="auto"/>
      </w:pPr>
      <w:r>
        <w:t>(a) Poor feeding, tachypnoea, sweating and hepatomegaly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Normal feeding</w:t>
      </w:r>
    </w:p>
    <w:p>
      <w:pPr>
        <w:spacing w:after="200" w:line="276" w:lineRule="auto"/>
      </w:pPr>
      <w:r>
        <w:t>(d) Hyperactivity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Poor feeding, tachypnoea, sweating and hepatomegaly</w:t>
      </w:r>
    </w:p>
    <w:p>
      <w:pPr>
        <w:spacing w:after="200" w:line="276" w:lineRule="auto"/>
      </w:pPr>
      <w:r>
        <w:t>🧠 Clinical Rationale: Infants show feeding difficulty, fast breathing and sweating rather than classic oedema.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Weight gain — does not match the characteristic feature/management described in the stem</w:t>
      </w:r>
    </w:p>
    <w:p>
      <w:pPr>
        <w:spacing w:after="200" w:line="276" w:lineRule="auto"/>
      </w:pPr>
      <w:r>
        <w:t>C. Normal feeding — does not match the characteristic feature/management described in the stem</w:t>
      </w:r>
    </w:p>
    <w:p>
      <w:pPr>
        <w:spacing w:after="200" w:line="276" w:lineRule="auto"/>
      </w:pPr>
      <w:r>
        <w:t>D. Hyperactivity — does not match the characteristic feature/management described in the stem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Kawasaki disease is dangerous because it can cause</w:t>
      </w:r>
    </w:p>
    <w:p>
      <w:pPr>
        <w:spacing w:after="200" w:line="276" w:lineRule="auto"/>
      </w:pPr>
      <w:r>
        <w:t>(a) Kidney failure</w:t>
      </w:r>
    </w:p>
    <w:p>
      <w:pPr>
        <w:spacing w:after="200" w:line="276" w:lineRule="auto"/>
      </w:pPr>
      <w:r>
        <w:t>(b) Liver cancer</w:t>
      </w:r>
    </w:p>
    <w:p>
      <w:pPr>
        <w:spacing w:after="200" w:line="276" w:lineRule="auto"/>
      </w:pPr>
      <w:r>
        <w:t>(c) Bone deformity</w:t>
      </w:r>
    </w:p>
    <w:p>
      <w:pPr>
        <w:spacing w:after="200" w:line="276" w:lineRule="auto"/>
      </w:pPr>
      <w:r>
        <w:t>(d) Coronary artery aneurysms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Coronary artery aneurysms</w:t>
      </w:r>
    </w:p>
    <w:p>
      <w:pPr>
        <w:spacing w:after="200" w:line="276" w:lineRule="auto"/>
      </w:pPr>
      <w:r>
        <w:t>🧠 Clinical Rationale: IVIG + aspirin within 10 days reduce coronary aneurysm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Kidney failure — does not match the characteristic feature/management described in the stem</w:t>
      </w:r>
    </w:p>
    <w:p>
      <w:pPr>
        <w:spacing w:after="200" w:line="276" w:lineRule="auto"/>
      </w:pPr>
      <w:r>
        <w:t>B. Liver cancer — does not match the characteristic feature/management described in the stem</w:t>
      </w:r>
    </w:p>
    <w:p>
      <w:pPr>
        <w:spacing w:after="200" w:line="276" w:lineRule="auto"/>
      </w:pPr>
      <w:r>
        <w:t>C. Bone deformity — does not match the characteristic feature/management described in the stem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Rheumatic fever recurs unless the child receives</w:t>
      </w:r>
    </w:p>
    <w:p>
      <w:pPr>
        <w:spacing w:after="200" w:line="276" w:lineRule="auto"/>
      </w:pPr>
      <w:r>
        <w:t>(a) Secondary penicillin prophylaxis</w:t>
      </w:r>
    </w:p>
    <w:p>
      <w:pPr>
        <w:spacing w:after="200" w:line="276" w:lineRule="auto"/>
      </w:pPr>
      <w:r>
        <w:t>(b) Only aspirin during attacks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Antihistamines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Secondary penicillin prophylaxis</w:t>
      </w:r>
    </w:p>
    <w:p>
      <w:pPr>
        <w:spacing w:after="200" w:line="276" w:lineRule="auto"/>
      </w:pPr>
      <w:r>
        <w:t>🧠 Clinical Rationale: Benzathine penicillin monthly prevents group A strep reinfection and rheumatic recurrence.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aspirin during attacks — does not match the characteristic feature/management described in the stem</w:t>
      </w:r>
    </w:p>
    <w:p>
      <w:pPr>
        <w:spacing w:after="200" w:line="276" w:lineRule="auto"/>
      </w:pPr>
      <w:r>
        <w:t>C. No treatment — does not match the characteristic feature/management described in the stem</w:t>
      </w:r>
    </w:p>
    <w:p>
      <w:pPr>
        <w:spacing w:after="200" w:line="276" w:lineRule="auto"/>
      </w:pPr>
      <w:r>
        <w:t>D. Antihistamines — does not match the characteristic feature/management described in the stem</w:t>
      </w:r>
    </w:p>
    <w:p>
      <w:pPr>
        <w:spacing w:after="200" w:line="276" w:lineRule="auto"/>
      </w:pPr>
      <w:r>
        <w:t>⚠️ Exam Trap: Mechanism of action is the exam point: penicillins → cell wall; aminoglycosides/macrolides → protein synthesis.</w:t>
      </w:r>
    </w:p>
    <w:p>
      <w:pPr>
        <w:spacing w:after="200" w:line="276" w:lineRule="auto"/>
      </w:pPr>
      <w:r>
        <w:t>💎 PNC Pearl: Penicillins are beta-lactams that inhibit bacterial CELL WALL (peptidoglycan) synthesis; watch for allergy (anaphylaxis).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Antibiotic mechanisms</w:t>
      </w:r>
    </w:p>
    <w:p>
      <w:pPr>
        <w:spacing w:after="200" w:line="276" w:lineRule="auto"/>
      </w:pPr>
      <w:r>
        <w:t>→ Cell wall: penicillins, cephalosporins, vancomycin</w:t>
      </w:r>
    </w:p>
    <w:p>
      <w:pPr>
        <w:spacing w:after="200" w:line="276" w:lineRule="auto"/>
      </w:pPr>
      <w:r>
        <w:t>→ Protein synthesis: aminoglycosides, macrolides, tetracyclines</w:t>
      </w:r>
    </w:p>
    <w:p>
      <w:pPr>
        <w:spacing w:after="200" w:line="276" w:lineRule="auto"/>
      </w:pPr>
      <w:r>
        <w:t>→ DNA gyrase: fluoroquinolones</w:t>
      </w:r>
    </w:p>
    <w:p>
      <w:pPr>
        <w:spacing w:after="200" w:line="276" w:lineRule="auto"/>
      </w:pPr>
      <w:r>
        <w:t>→ Folic acid: sulfonamides, trimethoprim</w:t>
      </w:r>
    </w:p>
    <w:p>
      <w:pPr>
        <w:spacing w:after="200" w:line="276" w:lineRule="auto"/>
      </w:pPr>
      <w:r>
        <w:t>→ Always ask about penicillin allergy history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Cardiac arrest in children is usually preceded by</w:t>
      </w:r>
    </w:p>
    <w:p>
      <w:pPr>
        <w:spacing w:after="200" w:line="276" w:lineRule="auto"/>
      </w:pPr>
      <w:r>
        <w:t>(a) Respiratory failure or shock (progressive hypoxia)</w:t>
      </w:r>
    </w:p>
    <w:p>
      <w:pPr>
        <w:spacing w:after="200" w:line="276" w:lineRule="auto"/>
      </w:pPr>
      <w:r>
        <w:t>(b) Sudden VF</w:t>
      </w:r>
    </w:p>
    <w:p>
      <w:pPr>
        <w:spacing w:after="200" w:line="276" w:lineRule="auto"/>
      </w:pPr>
      <w:r>
        <w:t>(c) Electrocution</w:t>
      </w:r>
    </w:p>
    <w:p>
      <w:pPr>
        <w:spacing w:after="200" w:line="276" w:lineRule="auto"/>
      </w:pPr>
      <w:r>
        <w:t>(d) Trauma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Respiratory failure or shock (progressive hypoxia)</w:t>
      </w:r>
    </w:p>
    <w:p>
      <w:pPr>
        <w:spacing w:after="200" w:line="276" w:lineRule="auto"/>
      </w:pPr>
      <w:r>
        <w:t>🧠 Clinical Rationale: Paediatric arrest is mostly secondary to respiratory/circulatory failure — treat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Sudden VF — a related concept, but it does not match the defining feature asked</w:t>
      </w:r>
    </w:p>
    <w:p>
      <w:pPr>
        <w:spacing w:after="200" w:line="276" w:lineRule="auto"/>
      </w:pPr>
      <w:r>
        <w:t>C. Electrocution — a related concept, but it does not match the defining feature asked</w:t>
      </w:r>
    </w:p>
    <w:p>
      <w:pPr>
        <w:spacing w:after="200" w:line="276" w:lineRule="auto"/>
      </w:pPr>
      <w:r>
        <w:t>D. Trauma only — a related concept, but it does not match the defining feature asked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newborn with jitteriness, poor feeding and low glucose needs</w:t>
      </w:r>
    </w:p>
    <w:p>
      <w:pPr>
        <w:spacing w:after="200" w:line="276" w:lineRule="auto"/>
      </w:pPr>
      <w:r>
        <w:t>(a) Only water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Early feeding and IV dextrose if symptomatic/severe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Early feeding and IV dextrose if symptomatic/severe</w:t>
      </w:r>
    </w:p>
    <w:p>
      <w:pPr>
        <w:spacing w:after="200" w:line="276" w:lineRule="auto"/>
      </w:pPr>
      <w:r>
        <w:t>🧠 Clinical Rationale: Prevent and treat neonatal hypoglycaemia — glucose infusion and 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water — does not match the characteristic feature/management described in the stem</w:t>
      </w:r>
    </w:p>
    <w:p>
      <w:pPr>
        <w:spacing w:after="200" w:line="276" w:lineRule="auto"/>
      </w:pPr>
      <w:r>
        <w:t>B. Insulin — does not match the characteristic feature/management described in the stem</w:t>
      </w:r>
    </w:p>
    <w:p>
      <w:pPr>
        <w:spacing w:after="200" w:line="276" w:lineRule="auto"/>
      </w:pPr>
      <w:r>
        <w:t>D. Antibiotics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Untreated severe neonatal hyperbilirubinaemia can cause</w:t>
      </w:r>
    </w:p>
    <w:p>
      <w:pPr>
        <w:spacing w:after="200" w:line="276" w:lineRule="auto"/>
      </w:pPr>
      <w:r>
        <w:t>(a) Deafness only</w:t>
      </w:r>
    </w:p>
    <w:p>
      <w:pPr>
        <w:spacing w:after="200" w:line="276" w:lineRule="auto"/>
      </w:pPr>
      <w:r>
        <w:t>(b) Kernicterus (brain damage)</w:t>
      </w:r>
    </w:p>
    <w:p>
      <w:pPr>
        <w:spacing w:after="200" w:line="276" w:lineRule="auto"/>
      </w:pPr>
      <w:r>
        <w:t>(c) Anaemia only</w:t>
      </w:r>
    </w:p>
    <w:p>
      <w:pPr>
        <w:spacing w:after="200" w:line="276" w:lineRule="auto"/>
      </w:pPr>
      <w:r>
        <w:t>(d) No harm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Kernicterus (brain damage)</w:t>
      </w:r>
    </w:p>
    <w:p>
      <w:pPr>
        <w:spacing w:after="200" w:line="276" w:lineRule="auto"/>
      </w:pPr>
      <w:r>
        <w:t>🧠 Clinical Rationale: High unconjugated bilirubin crosses the blood-brain barrier — phototherapy/exchange transfusion.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Deafness only — does not match the characteristic feature/management described in the stem</w:t>
      </w:r>
    </w:p>
    <w:p>
      <w:pPr>
        <w:spacing w:after="200" w:line="276" w:lineRule="auto"/>
      </w:pPr>
      <w:r>
        <w:t>C. Anaemia only — does not match the characteristic feature/management described in the stem</w:t>
      </w:r>
    </w:p>
    <w:p>
      <w:pPr>
        <w:spacing w:after="200" w:line="276" w:lineRule="auto"/>
      </w:pPr>
      <w:r>
        <w:t>D. No harm — does not match the characteristic feature/management described in the stem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phototherapy, the nurse should</w:t>
      </w:r>
    </w:p>
    <w:p>
      <w:pPr>
        <w:spacing w:after="200" w:line="276" w:lineRule="auto"/>
      </w:pPr>
      <w:r>
        <w:t>(a) Leave eyes open</w:t>
      </w:r>
    </w:p>
    <w:p>
      <w:pPr>
        <w:spacing w:after="200" w:line="276" w:lineRule="auto"/>
      </w:pPr>
      <w:r>
        <w:t>(b) Cover the whole body</w:t>
      </w:r>
    </w:p>
    <w:p>
      <w:pPr>
        <w:spacing w:after="200" w:line="276" w:lineRule="auto"/>
      </w:pPr>
      <w:r>
        <w:t>(c) Protect the eyes, monitor temperature/hydration and expose skin</w:t>
      </w:r>
    </w:p>
    <w:p>
      <w:pPr>
        <w:spacing w:after="200" w:line="276" w:lineRule="auto"/>
      </w:pPr>
      <w:r>
        <w:t>(d) Feed nothing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Protect the eyes, monitor temperature/hydration and expose skin</w:t>
      </w:r>
    </w:p>
    <w:p>
      <w:pPr>
        <w:spacing w:after="200" w:line="276" w:lineRule="auto"/>
      </w:pPr>
      <w:r>
        <w:t>🧠 Clinical Rationale: Eye shields, hydration and temperature monitoring accompany phototherapy.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Leave eyes open — would be appropriate in a different situation, not this one</w:t>
      </w:r>
    </w:p>
    <w:p>
      <w:pPr>
        <w:spacing w:after="200" w:line="276" w:lineRule="auto"/>
      </w:pPr>
      <w:r>
        <w:t>B. Cover the whole body — would be appropriate in a different situation, not this one</w:t>
      </w:r>
    </w:p>
    <w:p>
      <w:pPr>
        <w:spacing w:after="200" w:line="276" w:lineRule="auto"/>
      </w:pPr>
      <w:r>
        <w:t>D. Feed nothing — would be appropriate in a different situation, not this one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painful sickle cell crisis is managed with</w:t>
      </w:r>
    </w:p>
    <w:p>
      <w:pPr>
        <w:spacing w:after="200" w:line="276" w:lineRule="auto"/>
      </w:pPr>
      <w:r>
        <w:t>(a) Cold compress</w:t>
      </w:r>
    </w:p>
    <w:p>
      <w:pPr>
        <w:spacing w:after="200" w:line="276" w:lineRule="auto"/>
      </w:pPr>
      <w:r>
        <w:t>(b) Restriction of fluids</w:t>
      </w:r>
    </w:p>
    <w:p>
      <w:pPr>
        <w:spacing w:after="200" w:line="276" w:lineRule="auto"/>
      </w:pPr>
      <w:r>
        <w:t>(c) Analgesia, hydration, oxygen and warmth (treat infection)</w:t>
      </w:r>
    </w:p>
    <w:p>
      <w:pPr>
        <w:spacing w:after="200" w:line="276" w:lineRule="auto"/>
      </w:pPr>
      <w:r>
        <w:t>(d) Ice packs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Analgesia, hydration, oxygen and warmth (treat infection)</w:t>
      </w:r>
    </w:p>
    <w:p>
      <w:pPr>
        <w:spacing w:after="200" w:line="276" w:lineRule="auto"/>
      </w:pPr>
      <w:r>
        <w:t>🧠 Clinical Rationale: Supportive care plus analgesia; transfuse if complications (chest crisis, stroke).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Cold compress — does not match the characteristic feature/management described in the stem</w:t>
      </w:r>
    </w:p>
    <w:p>
      <w:pPr>
        <w:spacing w:after="200" w:line="276" w:lineRule="auto"/>
      </w:pPr>
      <w:r>
        <w:t>B. Restriction of fluids — does not match the characteristic feature/management described in the stem</w:t>
      </w:r>
    </w:p>
    <w:p>
      <w:pPr>
        <w:spacing w:after="200" w:line="276" w:lineRule="auto"/>
      </w:pPr>
      <w:r>
        <w:t>D. Ice packs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mainstay of treatment for transfusion-dependent thalassaemia is</w:t>
      </w:r>
    </w:p>
    <w:p>
      <w:pPr>
        <w:spacing w:after="200" w:line="276" w:lineRule="auto"/>
      </w:pPr>
      <w:r>
        <w:t>(a) Only folic acid</w:t>
      </w:r>
    </w:p>
    <w:p>
      <w:pPr>
        <w:spacing w:after="200" w:line="276" w:lineRule="auto"/>
      </w:pPr>
      <w:r>
        <w:t>(b) Regular blood transfusion and iron chelation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Vitamin 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Regular blood transfusion and iron chelation</w:t>
      </w:r>
    </w:p>
    <w:p>
      <w:pPr>
        <w:spacing w:after="200" w:line="276" w:lineRule="auto"/>
      </w:pPr>
      <w:r>
        <w:t>🧠 Clinical Rationale: Transfusions + chelation (deferasirox/desferrioxamine) manage the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folic acid — does not match the characteristic feature/management described in the stem</w:t>
      </w:r>
    </w:p>
    <w:p>
      <w:pPr>
        <w:spacing w:after="200" w:line="276" w:lineRule="auto"/>
      </w:pPr>
      <w:r>
        <w:t>C. No treatment — does not match the characteristic feature/management described in the stem</w:t>
      </w:r>
    </w:p>
    <w:p>
      <w:pPr>
        <w:spacing w:after="200" w:line="276" w:lineRule="auto"/>
      </w:pPr>
      <w:r>
        <w:t>D. Vitamin K — does not match the characteristic feature/management described in the stem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severe acute malnutrition is at high risk of</w:t>
      </w:r>
    </w:p>
    <w:p>
      <w:pPr>
        <w:spacing w:after="200" w:line="276" w:lineRule="auto"/>
      </w:pPr>
      <w:r>
        <w:t>(a) Hypoglycaemia, hypothermia and infection (F-75/F-100 feeding)</w:t>
      </w:r>
    </w:p>
    <w:p>
      <w:pPr>
        <w:spacing w:after="200" w:line="276" w:lineRule="auto"/>
      </w:pPr>
      <w:r>
        <w:t>(b) Overweight</w:t>
      </w:r>
    </w:p>
    <w:p>
      <w:pPr>
        <w:spacing w:after="200" w:line="276" w:lineRule="auto"/>
      </w:pPr>
      <w:r>
        <w:t>(c) Normal immunity</w:t>
      </w:r>
    </w:p>
    <w:p>
      <w:pPr>
        <w:spacing w:after="200" w:line="276" w:lineRule="auto"/>
      </w:pPr>
      <w:r>
        <w:t>(d) Hypertension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Hypoglycaemia, hypothermia and infection (F-75/F-100 feeding)</w:t>
      </w:r>
    </w:p>
    <w:p>
      <w:pPr>
        <w:spacing w:after="200" w:line="276" w:lineRule="auto"/>
      </w:pPr>
      <w:r>
        <w:t>🧠 Clinical Rationale: SAM care: stabilisation with F-75, then F-100; treat the 'three Hs'.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Overweight — does not match the characteristic feature/management described in the stem</w:t>
      </w:r>
    </w:p>
    <w:p>
      <w:pPr>
        <w:spacing w:after="200" w:line="276" w:lineRule="auto"/>
      </w:pPr>
      <w:r>
        <w:t>C. Normal immunity — does not match the characteristic feature/management described in the stem</w:t>
      </w:r>
    </w:p>
    <w:p>
      <w:pPr>
        <w:spacing w:after="200" w:line="276" w:lineRule="auto"/>
      </w:pPr>
      <w:r>
        <w:t>D. Hypertension — does not match the characteristic feature/management described in the stem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complication of measles is</w:t>
      </w:r>
    </w:p>
    <w:p>
      <w:pPr>
        <w:spacing w:after="200" w:line="276" w:lineRule="auto"/>
      </w:pPr>
      <w:r>
        <w:t>(a) Arthritis</w:t>
      </w:r>
    </w:p>
    <w:p>
      <w:pPr>
        <w:spacing w:after="200" w:line="276" w:lineRule="auto"/>
      </w:pPr>
      <w:r>
        <w:t>(b) Kidney stones</w:t>
      </w:r>
    </w:p>
    <w:p>
      <w:pPr>
        <w:spacing w:after="200" w:line="276" w:lineRule="auto"/>
      </w:pPr>
      <w:r>
        <w:t>(c) Rickets</w:t>
      </w:r>
    </w:p>
    <w:p>
      <w:pPr>
        <w:spacing w:after="200" w:line="276" w:lineRule="auto"/>
      </w:pPr>
      <w:r>
        <w:t>(d) Pneumonia and encephalitis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Pneumonia and encephalitis</w:t>
      </w:r>
    </w:p>
    <w:p>
      <w:pPr>
        <w:spacing w:after="200" w:line="276" w:lineRule="auto"/>
      </w:pPr>
      <w:r>
        <w:t>🧠 Clinical Rationale: Vitamin A reduces measles mortality; watch for pneumonia, otitis and encephalitis.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Arthritis — does not match the characteristic feature/management described in the stem</w:t>
      </w:r>
    </w:p>
    <w:p>
      <w:pPr>
        <w:spacing w:after="200" w:line="276" w:lineRule="auto"/>
      </w:pPr>
      <w:r>
        <w:t>B. Kidney stones — does not match the characteristic feature/management described in the stem</w:t>
      </w:r>
    </w:p>
    <w:p>
      <w:pPr>
        <w:spacing w:after="200" w:line="276" w:lineRule="auto"/>
      </w:pPr>
      <w:r>
        <w:t>C. Rickets — does not match the characteristic feature/management described in the stem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Pertussis is characterised by</w:t>
      </w:r>
    </w:p>
    <w:p>
      <w:pPr>
        <w:spacing w:after="200" w:line="276" w:lineRule="auto"/>
      </w:pPr>
      <w:r>
        <w:t>(a) No cough</w:t>
      </w:r>
    </w:p>
    <w:p>
      <w:pPr>
        <w:spacing w:after="200" w:line="276" w:lineRule="auto"/>
      </w:pPr>
      <w:r>
        <w:t>(b) Barking cough only</w:t>
      </w:r>
    </w:p>
    <w:p>
      <w:pPr>
        <w:spacing w:after="200" w:line="276" w:lineRule="auto"/>
      </w:pPr>
      <w:r>
        <w:t>(c) Paroxysmal cough with whoop and post-tussive vomiting</w:t>
      </w:r>
    </w:p>
    <w:p>
      <w:pPr>
        <w:spacing w:after="200" w:line="276" w:lineRule="auto"/>
      </w:pPr>
      <w:r>
        <w:t>(d) Wheezing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Paroxysmal cough with whoop and post-tussive vomiting</w:t>
      </w:r>
    </w:p>
    <w:p>
      <w:pPr>
        <w:spacing w:after="200" w:line="276" w:lineRule="auto"/>
      </w:pPr>
      <w:r>
        <w:t>🧠 Clinical Rationale: Whooping cough: bursts of cough ending in an inspiratory whoop; antibiotics limit spread.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cough — plausible, but not the single most accurate fact asked</w:t>
      </w:r>
    </w:p>
    <w:p>
      <w:pPr>
        <w:spacing w:after="200" w:line="276" w:lineRule="auto"/>
      </w:pPr>
      <w:r>
        <w:t>B. Barking cough only — plausible, but not the single most accurate fact asked</w:t>
      </w:r>
    </w:p>
    <w:p>
      <w:pPr>
        <w:spacing w:after="200" w:line="276" w:lineRule="auto"/>
      </w:pPr>
      <w:r>
        <w:t>D. Wheezing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Diphtheria is dangerous because of</w:t>
      </w:r>
    </w:p>
    <w:p>
      <w:pPr>
        <w:spacing w:after="200" w:line="276" w:lineRule="auto"/>
      </w:pPr>
      <w:r>
        <w:t>(a) Airway obstruction by the membrane and toxin-mediated myocarditis</w:t>
      </w:r>
    </w:p>
    <w:p>
      <w:pPr>
        <w:spacing w:after="200" w:line="276" w:lineRule="auto"/>
      </w:pPr>
      <w:r>
        <w:t>(b) Only fever</w:t>
      </w:r>
    </w:p>
    <w:p>
      <w:pPr>
        <w:spacing w:after="200" w:line="276" w:lineRule="auto"/>
      </w:pPr>
      <w:r>
        <w:t>(c) Rash</w:t>
      </w:r>
    </w:p>
    <w:p>
      <w:pPr>
        <w:spacing w:after="200" w:line="276" w:lineRule="auto"/>
      </w:pPr>
      <w:r>
        <w:t>(d) Joint pain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Airway obstruction by the membrane and toxin-mediated myocarditis</w:t>
      </w:r>
    </w:p>
    <w:p>
      <w:pPr>
        <w:spacing w:after="200" w:line="276" w:lineRule="auto"/>
      </w:pPr>
      <w:r>
        <w:t>🧠 Clinical Rationale: Antitoxin + antibiotics; watch the airway and cardiac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fever — does not match the characteristic feature/management described in the stem</w:t>
      </w:r>
    </w:p>
    <w:p>
      <w:pPr>
        <w:spacing w:after="200" w:line="276" w:lineRule="auto"/>
      </w:pPr>
      <w:r>
        <w:t>C. Rash — does not match the characteristic feature/management described in the stem</w:t>
      </w:r>
    </w:p>
    <w:p>
      <w:pPr>
        <w:spacing w:after="200" w:line="276" w:lineRule="auto"/>
      </w:pPr>
      <w:r>
        <w:t>D. Joint pain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Poliovirus spreads mainly by</w:t>
      </w:r>
    </w:p>
    <w:p>
      <w:pPr>
        <w:spacing w:after="200" w:line="276" w:lineRule="auto"/>
      </w:pPr>
      <w:r>
        <w:t>(a) Droplets only</w:t>
      </w:r>
    </w:p>
    <w:p>
      <w:pPr>
        <w:spacing w:after="200" w:line="276" w:lineRule="auto"/>
      </w:pPr>
      <w:r>
        <w:t>(b) Faecal-oral route</w:t>
      </w:r>
    </w:p>
    <w:p>
      <w:pPr>
        <w:spacing w:after="200" w:line="276" w:lineRule="auto"/>
      </w:pPr>
      <w:r>
        <w:t>(c) Blood transfusion</w:t>
      </w:r>
    </w:p>
    <w:p>
      <w:pPr>
        <w:spacing w:after="200" w:line="276" w:lineRule="auto"/>
      </w:pPr>
      <w:r>
        <w:t>(d) Insect bites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Faecal-oral route</w:t>
      </w:r>
    </w:p>
    <w:p>
      <w:pPr>
        <w:spacing w:after="200" w:line="276" w:lineRule="auto"/>
      </w:pPr>
      <w:r>
        <w:t>🧠 Clinical Rationale: Faecal-oral spread — OPV/IPV immunisation and sanitation prevent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Droplets only — a related concept, but it does not match the defining feature asked</w:t>
      </w:r>
    </w:p>
    <w:p>
      <w:pPr>
        <w:spacing w:after="200" w:line="276" w:lineRule="auto"/>
      </w:pPr>
      <w:r>
        <w:t>C. Blood transfusion — a related concept, but it does not match the defining feature asked</w:t>
      </w:r>
    </w:p>
    <w:p>
      <w:pPr>
        <w:spacing w:after="200" w:line="276" w:lineRule="auto"/>
      </w:pPr>
      <w:r>
        <w:t>D. Insect bites — a related concept, but it does not match the defining feature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Vaccines given at birth under the UIP include</w:t>
      </w:r>
    </w:p>
    <w:p>
      <w:pPr>
        <w:spacing w:after="200" w:line="276" w:lineRule="auto"/>
      </w:pPr>
      <w:r>
        <w:t>(a) MMR</w:t>
      </w:r>
    </w:p>
    <w:p>
      <w:pPr>
        <w:spacing w:after="200" w:line="276" w:lineRule="auto"/>
      </w:pPr>
      <w:r>
        <w:t>(b) BCG, OPV-0, hepatitis B birth dose</w:t>
      </w:r>
    </w:p>
    <w:p>
      <w:pPr>
        <w:spacing w:after="200" w:line="276" w:lineRule="auto"/>
      </w:pPr>
      <w:r>
        <w:t>(c) DPT</w:t>
      </w:r>
    </w:p>
    <w:p>
      <w:pPr>
        <w:spacing w:after="200" w:line="276" w:lineRule="auto"/>
      </w:pPr>
      <w:r>
        <w:t>(d) Typhoid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BCG, OPV-0, hepatitis B birth dose</w:t>
      </w:r>
    </w:p>
    <w:p>
      <w:pPr>
        <w:spacing w:after="200" w:line="276" w:lineRule="auto"/>
      </w:pPr>
      <w:r>
        <w:t>🧠 Clinical Rationale: BCG, OPV-0 and HepB-0 at birth; DPT/OPV/HepB at 6, 10, 14 weeks; MMR at 9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MMR — plausible, but not the single most accurate fact asked</w:t>
      </w:r>
    </w:p>
    <w:p>
      <w:pPr>
        <w:spacing w:after="200" w:line="276" w:lineRule="auto"/>
      </w:pPr>
      <w:r>
        <w:t>C. DPT — plausible, but not the single most accurate fact asked</w:t>
      </w:r>
    </w:p>
    <w:p>
      <w:pPr>
        <w:spacing w:after="200" w:line="276" w:lineRule="auto"/>
      </w:pPr>
      <w:r>
        <w:t>D. Typhoid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Vaccines are stored in the cold chain at</w:t>
      </w:r>
    </w:p>
    <w:p>
      <w:pPr>
        <w:spacing w:after="200" w:line="276" w:lineRule="auto"/>
      </w:pPr>
      <w:r>
        <w:t>(a) Room temperature</w:t>
      </w:r>
    </w:p>
    <w:p>
      <w:pPr>
        <w:spacing w:after="200" w:line="276" w:lineRule="auto"/>
      </w:pPr>
      <w:r>
        <w:t>(b) 15-25°C</w:t>
      </w:r>
    </w:p>
    <w:p>
      <w:pPr>
        <w:spacing w:after="200" w:line="276" w:lineRule="auto"/>
      </w:pPr>
      <w:r>
        <w:t>(c) Any temperature</w:t>
      </w:r>
    </w:p>
    <w:p>
      <w:pPr>
        <w:spacing w:after="200" w:line="276" w:lineRule="auto"/>
      </w:pPr>
      <w:r>
        <w:t>(d) 2-8°C (refrigerator) — OPV between -15 to -25°C when frozen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2-8°C (refrigerator) — OPV between -15 to -25°C when frozen</w:t>
      </w:r>
    </w:p>
    <w:p>
      <w:pPr>
        <w:spacing w:after="200" w:line="276" w:lineRule="auto"/>
      </w:pPr>
      <w:r>
        <w:t>🧠 Clinical Rationale: Maintaining the cold chain preserves vaccine potency.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Room temperature — would be appropriate in a different situation, not this one</w:t>
      </w:r>
    </w:p>
    <w:p>
      <w:pPr>
        <w:spacing w:after="200" w:line="276" w:lineRule="auto"/>
      </w:pPr>
      <w:r>
        <w:t>B. 15-25°C — would be appropriate in a different situation, not this one</w:t>
      </w:r>
    </w:p>
    <w:p>
      <w:pPr>
        <w:spacing w:after="200" w:line="276" w:lineRule="auto"/>
      </w:pPr>
      <w:r>
        <w:t>C. Any temperature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