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normal heart rate of a 1-year-old is approximately</w:t>
      </w:r>
    </w:p>
    <w:p>
      <w:pPr>
        <w:spacing w:after="200" w:line="276" w:lineRule="auto"/>
      </w:pPr>
      <w:r>
        <w:t>(a) 80-140 bpm</w:t>
      </w:r>
    </w:p>
    <w:p>
      <w:pPr>
        <w:spacing w:after="200" w:line="276" w:lineRule="auto"/>
      </w:pPr>
      <w:r>
        <w:t>(b) 40-60 bpm</w:t>
      </w:r>
    </w:p>
    <w:p>
      <w:pPr>
        <w:spacing w:after="200" w:line="276" w:lineRule="auto"/>
      </w:pPr>
      <w:r>
        <w:t>(c) 150-200 bpm</w:t>
      </w:r>
    </w:p>
    <w:p>
      <w:pPr>
        <w:spacing w:after="200" w:line="276" w:lineRule="auto"/>
      </w:pPr>
      <w:r>
        <w:t>(d) 60-80 bpm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80-140 bpm</w:t>
      </w:r>
    </w:p>
    <w:p>
      <w:pPr>
        <w:spacing w:after="200" w:line="276" w:lineRule="auto"/>
      </w:pPr>
      <w:r>
        <w:t>🧠 Clinical Rationale: Infant HR 100-160 at birth, ~80-140 by 1 year; rates fall with 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40-60 bpm — plausible, but not the single most accurate fact asked</w:t>
      </w:r>
    </w:p>
    <w:p>
      <w:pPr>
        <w:spacing w:after="200" w:line="276" w:lineRule="auto"/>
      </w:pPr>
      <w:r>
        <w:t>C. 150-200 bpm — plausible, but not the single most accurate fact asked</w:t>
      </w:r>
    </w:p>
    <w:p>
      <w:pPr>
        <w:spacing w:after="200" w:line="276" w:lineRule="auto"/>
      </w:pPr>
      <w:r>
        <w:t>D. 60-80 bpm — plausible, but not the single most accurate fact asked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approximate expected weight of a 2-year-old child is</w:t>
      </w:r>
    </w:p>
    <w:p>
      <w:pPr>
        <w:spacing w:after="200" w:line="276" w:lineRule="auto"/>
      </w:pPr>
      <w:r>
        <w:t>(a) 6 kg</w:t>
      </w:r>
    </w:p>
    <w:p>
      <w:pPr>
        <w:spacing w:after="200" w:line="276" w:lineRule="auto"/>
      </w:pPr>
      <w:r>
        <w:t>(b) 20 kg</w:t>
      </w:r>
    </w:p>
    <w:p>
      <w:pPr>
        <w:spacing w:after="200" w:line="276" w:lineRule="auto"/>
      </w:pPr>
      <w:r>
        <w:t>(c) 12 kg (about 4 × birth weight)</w:t>
      </w:r>
    </w:p>
    <w:p>
      <w:pPr>
        <w:spacing w:after="200" w:line="276" w:lineRule="auto"/>
      </w:pPr>
      <w:r>
        <w:t>(d) 25 kg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12 kg (about 4 × birth weight)</w:t>
      </w:r>
    </w:p>
    <w:p>
      <w:pPr>
        <w:spacing w:after="200" w:line="276" w:lineRule="auto"/>
      </w:pPr>
      <w:r>
        <w:t>🧠 Clinical Rationale: Weight doubles by 5-6 months, triples by 1 year (~10 kg), quadruples by 2 years (~12 kg).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 kg — would result from an error in formula or unit conversion</w:t>
      </w:r>
    </w:p>
    <w:p>
      <w:pPr>
        <w:spacing w:after="200" w:line="276" w:lineRule="auto"/>
      </w:pPr>
      <w:r>
        <w:t>B. 20 kg — would result from an error in formula or unit conversion</w:t>
      </w:r>
    </w:p>
    <w:p>
      <w:pPr>
        <w:spacing w:after="200" w:line="276" w:lineRule="auto"/>
      </w:pPr>
      <w:r>
        <w:t>D. 25 kg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Paediatric medication errors are prevented by</w:t>
      </w:r>
    </w:p>
    <w:p>
      <w:pPr>
        <w:spacing w:after="200" w:line="276" w:lineRule="auto"/>
      </w:pPr>
      <w:r>
        <w:t>(a) Adult dosing</w:t>
      </w:r>
    </w:p>
    <w:p>
      <w:pPr>
        <w:spacing w:after="200" w:line="276" w:lineRule="auto"/>
      </w:pPr>
      <w:r>
        <w:t>(b) Guesswork</w:t>
      </w:r>
    </w:p>
    <w:p>
      <w:pPr>
        <w:spacing w:after="200" w:line="276" w:lineRule="auto"/>
      </w:pPr>
      <w:r>
        <w:t>(c) No checks</w:t>
      </w:r>
    </w:p>
    <w:p>
      <w:pPr>
        <w:spacing w:after="200" w:line="276" w:lineRule="auto"/>
      </w:pPr>
      <w:r>
        <w:t>(d) Calculating doses by weight (mg/kg), double-checks and using appropriate formulations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Calculating doses by weight (mg/kg), double-checks and using appropriate formulations</w:t>
      </w:r>
    </w:p>
    <w:p>
      <w:pPr>
        <w:spacing w:after="200" w:line="276" w:lineRule="auto"/>
      </w:pPr>
      <w:r>
        <w:t>🧠 Clinical Rationale: Weight-based dosing with independent double-checks is essential in children.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Paediatric - Medication Safety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Calculating doses by weight (mg/kg), double-checks and using appropriate formulations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Adult dosing — does not address the immediate life-threatening problem (ABC comes first)</w:t>
      </w:r>
    </w:p>
    <w:p>
      <w:pPr>
        <w:spacing w:after="200" w:line="276" w:lineRule="auto"/>
      </w:pPr>
      <w:r>
        <w:t>B. Guesswork — does not address the immediate life-threatening problem (ABC comes first)</w:t>
      </w:r>
    </w:p>
    <w:p>
      <w:pPr>
        <w:spacing w:after="200" w:line="276" w:lineRule="auto"/>
      </w:pPr>
      <w:r>
        <w:t>C. No checks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Growth monitoring in children includes</w:t>
      </w:r>
    </w:p>
    <w:p>
      <w:pPr>
        <w:spacing w:after="200" w:line="276" w:lineRule="auto"/>
      </w:pPr>
      <w:r>
        <w:t>(a) Only weight</w:t>
      </w:r>
    </w:p>
    <w:p>
      <w:pPr>
        <w:spacing w:after="200" w:line="276" w:lineRule="auto"/>
      </w:pPr>
      <w:r>
        <w:t>(b) Weight, height/length, head circumference and WHO growth charts</w:t>
      </w:r>
    </w:p>
    <w:p>
      <w:pPr>
        <w:spacing w:after="200" w:line="276" w:lineRule="auto"/>
      </w:pPr>
      <w:r>
        <w:t>(c) Only height</w:t>
      </w:r>
    </w:p>
    <w:p>
      <w:pPr>
        <w:spacing w:after="200" w:line="276" w:lineRule="auto"/>
      </w:pPr>
      <w:r>
        <w:t>(d) No monitoring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Weight, height/length, head circumference and WHO growth charts</w:t>
      </w:r>
    </w:p>
    <w:p>
      <w:pPr>
        <w:spacing w:after="200" w:line="276" w:lineRule="auto"/>
      </w:pPr>
      <w:r>
        <w:t>🧠 Clinical Rationale: Serial growth parameters plotted on WHO charts detect faltering early.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weight — a related concept, but it does not match the defining feature asked</w:t>
      </w:r>
    </w:p>
    <w:p>
      <w:pPr>
        <w:spacing w:after="200" w:line="276" w:lineRule="auto"/>
      </w:pPr>
      <w:r>
        <w:t>C. Only height — a related concept, but it does not match the defining feature asked</w:t>
      </w:r>
    </w:p>
    <w:p>
      <w:pPr>
        <w:spacing w:after="200" w:line="276" w:lineRule="auto"/>
      </w:pPr>
      <w:r>
        <w:t>D. No monitoring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Daily maintenance fluid for a 10 kg child (Holliday-Segar) is</w:t>
      </w:r>
    </w:p>
    <w:p>
      <w:pPr>
        <w:spacing w:after="200" w:line="276" w:lineRule="auto"/>
      </w:pPr>
      <w:r>
        <w:t>(a) 500 mL</w:t>
      </w:r>
    </w:p>
    <w:p>
      <w:pPr>
        <w:spacing w:after="200" w:line="276" w:lineRule="auto"/>
      </w:pPr>
      <w:r>
        <w:t>(b) 1500 mL</w:t>
      </w:r>
    </w:p>
    <w:p>
      <w:pPr>
        <w:spacing w:after="200" w:line="276" w:lineRule="auto"/>
      </w:pPr>
      <w:r>
        <w:t>(c) 2000 mL</w:t>
      </w:r>
    </w:p>
    <w:p>
      <w:pPr>
        <w:spacing w:after="200" w:line="276" w:lineRule="auto"/>
      </w:pPr>
      <w:r>
        <w:t>(d) 1000 mL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1000 mL</w:t>
      </w:r>
    </w:p>
    <w:p>
      <w:pPr>
        <w:spacing w:after="200" w:line="276" w:lineRule="auto"/>
      </w:pPr>
      <w:r>
        <w:t>🧠 Clinical Rationale: 100 mL/kg for first 10 kg = 1000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500 mL — would result from an error in formula or unit conversion</w:t>
      </w:r>
    </w:p>
    <w:p>
      <w:pPr>
        <w:spacing w:after="200" w:line="276" w:lineRule="auto"/>
      </w:pPr>
      <w:r>
        <w:t>B. 1500 mL — would result from an error in formula or unit conversion</w:t>
      </w:r>
    </w:p>
    <w:p>
      <w:pPr>
        <w:spacing w:after="200" w:line="276" w:lineRule="auto"/>
      </w:pPr>
      <w:r>
        <w:t>C. 2000 mL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Pain in a pre-verbal child is assessed using</w:t>
      </w:r>
    </w:p>
    <w:p>
      <w:pPr>
        <w:spacing w:after="200" w:line="276" w:lineRule="auto"/>
      </w:pPr>
      <w:r>
        <w:t>(a) Numeric scale only</w:t>
      </w:r>
    </w:p>
    <w:p>
      <w:pPr>
        <w:spacing w:after="200" w:line="276" w:lineRule="auto"/>
      </w:pPr>
      <w:r>
        <w:t>(b) GCS</w:t>
      </w:r>
    </w:p>
    <w:p>
      <w:pPr>
        <w:spacing w:after="200" w:line="276" w:lineRule="auto"/>
      </w:pPr>
      <w:r>
        <w:t>(c) FLACC scale (face, legs, activity, cry, consolability)</w:t>
      </w:r>
    </w:p>
    <w:p>
      <w:pPr>
        <w:spacing w:after="200" w:line="276" w:lineRule="auto"/>
      </w:pPr>
      <w:r>
        <w:t>(d) Braden scale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FLACC scale (face, legs, activity, cry, consolability)</w:t>
      </w:r>
    </w:p>
    <w:p>
      <w:pPr>
        <w:spacing w:after="200" w:line="276" w:lineRule="auto"/>
      </w:pPr>
      <w:r>
        <w:t>🧠 Clinical Rationale: FLACC and similar behavioural tools assess pain in infants/non-verbal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Numeric scale only — would be appropriate in a different situation, not this one</w:t>
      </w:r>
    </w:p>
    <w:p>
      <w:pPr>
        <w:spacing w:after="200" w:line="276" w:lineRule="auto"/>
      </w:pPr>
      <w:r>
        <w:t>B. GCS — would be appropriate in a different situation, not this one</w:t>
      </w:r>
    </w:p>
    <w:p>
      <w:pPr>
        <w:spacing w:after="200" w:line="276" w:lineRule="auto"/>
      </w:pPr>
      <w:r>
        <w:t>D. Braden scale — would be appropriate in a different situation, not this one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anterior fontanelle normally closes by about</w:t>
      </w:r>
    </w:p>
    <w:p>
      <w:pPr>
        <w:spacing w:after="200" w:line="276" w:lineRule="auto"/>
      </w:pPr>
      <w:r>
        <w:t>(a) 12-18 months</w:t>
      </w:r>
    </w:p>
    <w:p>
      <w:pPr>
        <w:spacing w:after="200" w:line="276" w:lineRule="auto"/>
      </w:pPr>
      <w:r>
        <w:t>(b) 3 months</w:t>
      </w:r>
    </w:p>
    <w:p>
      <w:pPr>
        <w:spacing w:after="200" w:line="276" w:lineRule="auto"/>
      </w:pPr>
      <w:r>
        <w:t>(c) 2 years always</w:t>
      </w:r>
    </w:p>
    <w:p>
      <w:pPr>
        <w:spacing w:after="200" w:line="276" w:lineRule="auto"/>
      </w:pPr>
      <w:r>
        <w:t>(d) 1 week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12-18 months</w:t>
      </w:r>
    </w:p>
    <w:p>
      <w:pPr>
        <w:spacing w:after="200" w:line="276" w:lineRule="auto"/>
      </w:pPr>
      <w:r>
        <w:t>🧠 Clinical Rationale: Anterior fontanelle closes 12-18 months; posterior by 2-3 months.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3 months — plausible, but not the single most accurate fact asked</w:t>
      </w:r>
    </w:p>
    <w:p>
      <w:pPr>
        <w:spacing w:after="200" w:line="276" w:lineRule="auto"/>
      </w:pPr>
      <w:r>
        <w:t>C. 2 years always — plausible, but not the single most accurate fact asked</w:t>
      </w:r>
    </w:p>
    <w:p>
      <w:pPr>
        <w:spacing w:after="200" w:line="276" w:lineRule="auto"/>
      </w:pPr>
      <w:r>
        <w:t>D. 1 week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Compared with adults, infants have</w:t>
      </w:r>
    </w:p>
    <w:p>
      <w:pPr>
        <w:spacing w:after="200" w:line="276" w:lineRule="auto"/>
      </w:pPr>
      <w:r>
        <w:t>(a) Less body water</w:t>
      </w:r>
    </w:p>
    <w:p>
      <w:pPr>
        <w:spacing w:after="200" w:line="276" w:lineRule="auto"/>
      </w:pPr>
      <w:r>
        <w:t>(b) A higher proportion of body water and faster fluid turnover</w:t>
      </w:r>
    </w:p>
    <w:p>
      <w:pPr>
        <w:spacing w:after="200" w:line="276" w:lineRule="auto"/>
      </w:pPr>
      <w:r>
        <w:t>(c) The same water</w:t>
      </w:r>
    </w:p>
    <w:p>
      <w:pPr>
        <w:spacing w:after="200" w:line="276" w:lineRule="auto"/>
      </w:pPr>
      <w:r>
        <w:t>(d) No water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 higher proportion of body water and faster fluid turnover</w:t>
      </w:r>
    </w:p>
    <w:p>
      <w:pPr>
        <w:spacing w:after="200" w:line="276" w:lineRule="auto"/>
      </w:pPr>
      <w:r>
        <w:t>🧠 Clinical Rationale: Infants are ~75% water with high metabolic turnover — dehydrated quickly.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Less body water — a related concept, but it does not match the defining feature asked</w:t>
      </w:r>
    </w:p>
    <w:p>
      <w:pPr>
        <w:spacing w:after="200" w:line="276" w:lineRule="auto"/>
      </w:pPr>
      <w:r>
        <w:t>C. The same water — a related concept, but it does not match the defining feature asked</w:t>
      </w:r>
    </w:p>
    <w:p>
      <w:pPr>
        <w:spacing w:after="200" w:line="276" w:lineRule="auto"/>
      </w:pPr>
      <w:r>
        <w:t>D. No water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Newborns produce heat mainly through</w:t>
      </w:r>
    </w:p>
    <w:p>
      <w:pPr>
        <w:spacing w:after="200" w:line="276" w:lineRule="auto"/>
      </w:pPr>
      <w:r>
        <w:t>(a) Shivering</w:t>
      </w:r>
    </w:p>
    <w:p>
      <w:pPr>
        <w:spacing w:after="200" w:line="276" w:lineRule="auto"/>
      </w:pPr>
      <w:r>
        <w:t>(b) Sweating</w:t>
      </w:r>
    </w:p>
    <w:p>
      <w:pPr>
        <w:spacing w:after="200" w:line="276" w:lineRule="auto"/>
      </w:pPr>
      <w:r>
        <w:t>(c) Non-shivering thermogenesis in brown fat</w:t>
      </w:r>
    </w:p>
    <w:p>
      <w:pPr>
        <w:spacing w:after="200" w:line="276" w:lineRule="auto"/>
      </w:pPr>
      <w:r>
        <w:t>(d) Panting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Non-shivering thermogenesis in brown fat</w:t>
      </w:r>
    </w:p>
    <w:p>
      <w:pPr>
        <w:spacing w:after="200" w:line="276" w:lineRule="auto"/>
      </w:pPr>
      <w:r>
        <w:t>🧠 Clinical Rationale: Brown fat metabolism keeps newborns warm — keep them covered.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Shivering — a related concept, but it does not match the defining feature asked</w:t>
      </w:r>
    </w:p>
    <w:p>
      <w:pPr>
        <w:spacing w:after="200" w:line="276" w:lineRule="auto"/>
      </w:pPr>
      <w:r>
        <w:t>B. Sweating — a related concept, but it does not match the defining feature asked</w:t>
      </w:r>
    </w:p>
    <w:p>
      <w:pPr>
        <w:spacing w:after="200" w:line="276" w:lineRule="auto"/>
      </w:pPr>
      <w:r>
        <w:t>D. Panting — a related concept, but it does not match the defining feature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APGAR score assesses</w:t>
      </w:r>
    </w:p>
    <w:p>
      <w:pPr>
        <w:spacing w:after="200" w:line="276" w:lineRule="auto"/>
      </w:pPr>
      <w:r>
        <w:t>(a) Weight and height</w:t>
      </w:r>
    </w:p>
    <w:p>
      <w:pPr>
        <w:spacing w:after="200" w:line="276" w:lineRule="auto"/>
      </w:pPr>
      <w:r>
        <w:t>(b) Blood group</w:t>
      </w:r>
    </w:p>
    <w:p>
      <w:pPr>
        <w:spacing w:after="200" w:line="276" w:lineRule="auto"/>
      </w:pPr>
      <w:r>
        <w:t>(c) Feeding</w:t>
      </w:r>
    </w:p>
    <w:p>
      <w:pPr>
        <w:spacing w:after="200" w:line="276" w:lineRule="auto"/>
      </w:pPr>
      <w:r>
        <w:t>(d) Appearance, Pulse, Grimace, Activity, Respiration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Appearance, Pulse, Grimace, Activity, Respiration</w:t>
      </w:r>
    </w:p>
    <w:p>
      <w:pPr>
        <w:spacing w:after="200" w:line="276" w:lineRule="auto"/>
      </w:pPr>
      <w:r>
        <w:t>🧠 Clinical Rationale: APGAR at 1 and 5 minutes evaluates transition; &lt;7 warrants resuscitation review.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and height — plausible, but not the single most accurate fact asked</w:t>
      </w:r>
    </w:p>
    <w:p>
      <w:pPr>
        <w:spacing w:after="200" w:line="276" w:lineRule="auto"/>
      </w:pPr>
      <w:r>
        <w:t>B. Blood group — plausible, but not the single most accurate fact asked</w:t>
      </w:r>
    </w:p>
    <w:p>
      <w:pPr>
        <w:spacing w:after="200" w:line="276" w:lineRule="auto"/>
      </w:pPr>
      <w:r>
        <w:t>C. Feeding — plausible, but not the single most accurate fact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Low birth weight is defined as birth weight below</w:t>
      </w:r>
    </w:p>
    <w:p>
      <w:pPr>
        <w:spacing w:after="200" w:line="276" w:lineRule="auto"/>
      </w:pPr>
      <w:r>
        <w:t>(a) 2000 g</w:t>
      </w:r>
    </w:p>
    <w:p>
      <w:pPr>
        <w:spacing w:after="200" w:line="276" w:lineRule="auto"/>
      </w:pPr>
      <w:r>
        <w:t>(b) 2500 g</w:t>
      </w:r>
    </w:p>
    <w:p>
      <w:pPr>
        <w:spacing w:after="200" w:line="276" w:lineRule="auto"/>
      </w:pPr>
      <w:r>
        <w:t>(c) 3000 g</w:t>
      </w:r>
    </w:p>
    <w:p>
      <w:pPr>
        <w:spacing w:after="200" w:line="276" w:lineRule="auto"/>
      </w:pPr>
      <w:r>
        <w:t>(d) 1500 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2500 g</w:t>
      </w:r>
    </w:p>
    <w:p>
      <w:pPr>
        <w:spacing w:after="200" w:line="276" w:lineRule="auto"/>
      </w:pPr>
      <w:r>
        <w:t>🧠 Clinical Rationale: LBW &lt;2500 g; very LBW &lt;1500 g; extremely LBW &lt;1000 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2000 g — plausible, but not the single most accurate fact asked</w:t>
      </w:r>
    </w:p>
    <w:p>
      <w:pPr>
        <w:spacing w:after="200" w:line="276" w:lineRule="auto"/>
      </w:pPr>
      <w:r>
        <w:t>C. 3000 g — plausible, but not the single most accurate fact asked</w:t>
      </w:r>
    </w:p>
    <w:p>
      <w:pPr>
        <w:spacing w:after="200" w:line="276" w:lineRule="auto"/>
      </w:pPr>
      <w:r>
        <w:t>D. 1500 g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IMNCI (Integrated Management of Neonatal and Childhood Illness) aims to</w:t>
      </w:r>
    </w:p>
    <w:p>
      <w:pPr>
        <w:spacing w:after="200" w:line="276" w:lineRule="auto"/>
      </w:pPr>
      <w:r>
        <w:t>(a) Only vaccinate</w:t>
      </w:r>
    </w:p>
    <w:p>
      <w:pPr>
        <w:spacing w:after="200" w:line="276" w:lineRule="auto"/>
      </w:pPr>
      <w:r>
        <w:t>(b) Reduce child mortality through integrated assessment and treatment</w:t>
      </w:r>
    </w:p>
    <w:p>
      <w:pPr>
        <w:spacing w:after="200" w:line="276" w:lineRule="auto"/>
      </w:pPr>
      <w:r>
        <w:t>(c) Provide school meals</w:t>
      </w:r>
    </w:p>
    <w:p>
      <w:pPr>
        <w:spacing w:after="200" w:line="276" w:lineRule="auto"/>
      </w:pPr>
      <w:r>
        <w:t>(d) Track adults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Reduce child mortality through integrated assessment and treatment</w:t>
      </w:r>
    </w:p>
    <w:p>
      <w:pPr>
        <w:spacing w:after="200" w:line="276" w:lineRule="auto"/>
      </w:pPr>
      <w:r>
        <w:t>🧠 Clinical Rationale: IMNCI integrates management of the sick child at first-level facilities.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vaccinate — a related concept, but it does not match the defining feature asked</w:t>
      </w:r>
    </w:p>
    <w:p>
      <w:pPr>
        <w:spacing w:after="200" w:line="276" w:lineRule="auto"/>
      </w:pPr>
      <w:r>
        <w:t>C. Provide school meals — a related concept, but it does not match the defining feature asked</w:t>
      </w:r>
    </w:p>
    <w:p>
      <w:pPr>
        <w:spacing w:after="200" w:line="276" w:lineRule="auto"/>
      </w:pPr>
      <w:r>
        <w:t>D. Track adults — a related concept, but it does not match the defining feature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Rashtriya Bal Swasthya Karyakram (RBSK) screens children for</w:t>
      </w:r>
    </w:p>
    <w:p>
      <w:pPr>
        <w:spacing w:after="200" w:line="276" w:lineRule="auto"/>
      </w:pPr>
      <w:r>
        <w:t>(a) Only vision</w:t>
      </w:r>
    </w:p>
    <w:p>
      <w:pPr>
        <w:spacing w:after="200" w:line="276" w:lineRule="auto"/>
      </w:pPr>
      <w:r>
        <w:t>(b) Only hearing</w:t>
      </w:r>
    </w:p>
    <w:p>
      <w:pPr>
        <w:spacing w:after="200" w:line="276" w:lineRule="auto"/>
      </w:pPr>
      <w:r>
        <w:t>(c) 4 Ds: defects at birth, deficiencies, diseases and developmental delays</w:t>
      </w:r>
    </w:p>
    <w:p>
      <w:pPr>
        <w:spacing w:after="200" w:line="276" w:lineRule="auto"/>
      </w:pPr>
      <w:r>
        <w:t>(d) Nutrition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4 Ds: defects at birth, deficiencies, diseases and developmental delays</w:t>
      </w:r>
    </w:p>
    <w:p>
      <w:pPr>
        <w:spacing w:after="200" w:line="276" w:lineRule="auto"/>
      </w:pPr>
      <w:r>
        <w:t>🧠 Clinical Rationale: RBSK detects and manages the 4 Ds in children up to 18 years.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vision — a related concept, but it does not match the defining feature asked</w:t>
      </w:r>
    </w:p>
    <w:p>
      <w:pPr>
        <w:spacing w:after="200" w:line="276" w:lineRule="auto"/>
      </w:pPr>
      <w:r>
        <w:t>B. Only hearing — a related concept, but it does not match the defining feature asked</w:t>
      </w:r>
    </w:p>
    <w:p>
      <w:pPr>
        <w:spacing w:after="200" w:line="276" w:lineRule="auto"/>
      </w:pPr>
      <w:r>
        <w:t>D. Nutrition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Early red flags for autism spectrum disorder include</w:t>
      </w:r>
    </w:p>
    <w:p>
      <w:pPr>
        <w:spacing w:after="200" w:line="276" w:lineRule="auto"/>
      </w:pPr>
      <w:r>
        <w:t>(a) Excessive eye contact</w:t>
      </w:r>
    </w:p>
    <w:p>
      <w:pPr>
        <w:spacing w:after="200" w:line="276" w:lineRule="auto"/>
      </w:pPr>
      <w:r>
        <w:t>(b) Advanced language</w:t>
      </w:r>
    </w:p>
    <w:p>
      <w:pPr>
        <w:spacing w:after="200" w:line="276" w:lineRule="auto"/>
      </w:pPr>
      <w:r>
        <w:t>(c) No babbling by 12 months, no gestures, no eye contact and loss of skills</w:t>
      </w:r>
    </w:p>
    <w:p>
      <w:pPr>
        <w:spacing w:after="200" w:line="276" w:lineRule="auto"/>
      </w:pPr>
      <w:r>
        <w:t>(d) No red flags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No babbling by 12 months, no gestures, no eye contact and loss of skills</w:t>
      </w:r>
    </w:p>
    <w:p>
      <w:pPr>
        <w:spacing w:after="200" w:line="276" w:lineRule="auto"/>
      </w:pPr>
      <w:r>
        <w:t>🧠 Clinical Rationale: Early identification enables early intervention.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Excessive eye contact — does not match the characteristic feature/management described in the stem</w:t>
      </w:r>
    </w:p>
    <w:p>
      <w:pPr>
        <w:spacing w:after="200" w:line="276" w:lineRule="auto"/>
      </w:pPr>
      <w:r>
        <w:t>B. Advanced language — does not match the characteristic feature/management described in the stem</w:t>
      </w:r>
    </w:p>
    <w:p>
      <w:pPr>
        <w:spacing w:after="200" w:line="276" w:lineRule="auto"/>
      </w:pPr>
      <w:r>
        <w:t>D. No red flags — does not match the characteristic feature/management described in the stem</w:t>
      </w:r>
    </w:p>
    <w:p>
      <w:pPr>
        <w:spacing w:after="200" w:line="276" w:lineRule="auto"/>
      </w:pPr>
      <w:r>
        <w:t>⚠️ Exam Trap: Autism care: keep routines and use clear, simple communication — sudden changes and overwhelming stimuli trigger distress.</w:t>
      </w:r>
    </w:p>
    <w:p>
      <w:pPr>
        <w:spacing w:after="200" w:line="276" w:lineRule="auto"/>
      </w:pPr>
      <w:r>
        <w:t>💎 PNC Pearl: Autism: routines, predictability and visual supports reduce distress — sensory sensitivities and communication differences guide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Autism spectrum</w:t>
      </w:r>
    </w:p>
    <w:p>
      <w:pPr>
        <w:spacing w:after="200" w:line="276" w:lineRule="auto"/>
      </w:pPr>
      <w:r>
        <w:t>→ Clues: social-communication difficulty, repetitive behaviours, sensory sensitivities</w:t>
      </w:r>
    </w:p>
    <w:p>
      <w:pPr>
        <w:spacing w:after="200" w:line="276" w:lineRule="auto"/>
      </w:pPr>
      <w:r>
        <w:t>→ Nursing: routine, visual schedules, minimal unexpected stimuli, clear language</w:t>
      </w:r>
    </w:p>
    <w:p>
      <w:pPr>
        <w:spacing w:after="200" w:line="276" w:lineRule="auto"/>
      </w:pPr>
      <w:r>
        <w:t>→ Safety: wandering/elopement risk — supervise and secure environment</w:t>
      </w:r>
    </w:p>
    <w:p>
      <w:pPr>
        <w:spacing w:after="200" w:line="276" w:lineRule="auto"/>
      </w:pPr>
      <w:r>
        <w:t>→ Early intervention and family support improve outcomes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management of ADHD includes</w:t>
      </w:r>
    </w:p>
    <w:p>
      <w:pPr>
        <w:spacing w:after="200" w:line="276" w:lineRule="auto"/>
      </w:pPr>
      <w:r>
        <w:t>(a) Punishment</w:t>
      </w:r>
    </w:p>
    <w:p>
      <w:pPr>
        <w:spacing w:after="200" w:line="276" w:lineRule="auto"/>
      </w:pPr>
      <w:r>
        <w:t>(b) Behavioural therapy (and medication in moderate-severe cases)</w:t>
      </w:r>
    </w:p>
    <w:p>
      <w:pPr>
        <w:spacing w:after="200" w:line="276" w:lineRule="auto"/>
      </w:pPr>
      <w:r>
        <w:t>(c) No treatment</w:t>
      </w:r>
    </w:p>
    <w:p>
      <w:pPr>
        <w:spacing w:after="200" w:line="276" w:lineRule="auto"/>
      </w:pPr>
      <w:r>
        <w:t>(d) Diet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Behavioural therapy (and medication in moderate-severe cases)</w:t>
      </w:r>
    </w:p>
    <w:p>
      <w:pPr>
        <w:spacing w:after="200" w:line="276" w:lineRule="auto"/>
      </w:pPr>
      <w:r>
        <w:t>🧠 Clinical Rationale: Parent training, classroom strategies and stimulants are evidence-based.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Punishment — does not match the characteristic feature/management described in the stem</w:t>
      </w:r>
    </w:p>
    <w:p>
      <w:pPr>
        <w:spacing w:after="200" w:line="276" w:lineRule="auto"/>
      </w:pPr>
      <w:r>
        <w:t>C. No treatment — does not match the characteristic feature/management described in the stem</w:t>
      </w:r>
    </w:p>
    <w:p>
      <w:pPr>
        <w:spacing w:after="200" w:line="276" w:lineRule="auto"/>
      </w:pPr>
      <w:r>
        <w:t>D. Diet only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Research in children requires</w:t>
      </w:r>
    </w:p>
    <w:p>
      <w:pPr>
        <w:spacing w:after="200" w:line="276" w:lineRule="auto"/>
      </w:pPr>
      <w:r>
        <w:t>(a) Parental consent plus child assent where appropriate, with ethics approval</w:t>
      </w:r>
    </w:p>
    <w:p>
      <w:pPr>
        <w:spacing w:after="200" w:line="276" w:lineRule="auto"/>
      </w:pPr>
      <w:r>
        <w:t>(b) No consent</w:t>
      </w:r>
    </w:p>
    <w:p>
      <w:pPr>
        <w:spacing w:after="200" w:line="276" w:lineRule="auto"/>
      </w:pPr>
      <w:r>
        <w:t>(c) Only child consent</w:t>
      </w:r>
    </w:p>
    <w:p>
      <w:pPr>
        <w:spacing w:after="200" w:line="276" w:lineRule="auto"/>
      </w:pPr>
      <w:r>
        <w:t>(d) Only staff consent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Parental consent plus child assent where appropriate, with ethics approval</w:t>
      </w:r>
    </w:p>
    <w:p>
      <w:pPr>
        <w:spacing w:after="200" w:line="276" w:lineRule="auto"/>
      </w:pPr>
      <w:r>
        <w:t>🧠 Clinical Rationale: Paediatric research uses parental permission and child assent per maturity.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 consent — a related concept, but it does not match the defining feature asked</w:t>
      </w:r>
    </w:p>
    <w:p>
      <w:pPr>
        <w:spacing w:after="200" w:line="276" w:lineRule="auto"/>
      </w:pPr>
      <w:r>
        <w:t>C. Only child consent — a related concept, but it does not match the defining feature asked</w:t>
      </w:r>
    </w:p>
    <w:p>
      <w:pPr>
        <w:spacing w:after="200" w:line="276" w:lineRule="auto"/>
      </w:pPr>
      <w:r>
        <w:t>D. Only staff consent — a related concept, but it does not match the defining feature asked</w:t>
      </w:r>
    </w:p>
    <w:p>
      <w:pPr>
        <w:spacing w:after="200" w:line="276" w:lineRule="auto"/>
      </w:pPr>
      <w:r>
        <w:t>⚠️ Exam Trap: The doctor obtains consent and explains; the nurse WITNESSES the signature and verifies understanding — a nurse cannot consent for the patient.</w:t>
      </w:r>
    </w:p>
    <w:p>
      <w:pPr>
        <w:spacing w:after="200" w:line="276" w:lineRule="auto"/>
      </w:pPr>
      <w:r>
        <w:t>💎 PNC Pearl: Informed consent: the patient (or legal guardian) signs after understanding the procedure — it is the physician's duty to explain.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Paediatric triage (e.g., Paediatric Canadian Triage and Acuity Scale) categorises by</w:t>
      </w:r>
    </w:p>
    <w:p>
      <w:pPr>
        <w:spacing w:after="200" w:line="276" w:lineRule="auto"/>
      </w:pPr>
      <w:r>
        <w:t>(a) Severity of illness and resource need</w:t>
      </w:r>
    </w:p>
    <w:p>
      <w:pPr>
        <w:spacing w:after="200" w:line="276" w:lineRule="auto"/>
      </w:pPr>
      <w:r>
        <w:t>(b) Age alone</w:t>
      </w:r>
    </w:p>
    <w:p>
      <w:pPr>
        <w:spacing w:after="200" w:line="276" w:lineRule="auto"/>
      </w:pPr>
      <w:r>
        <w:t>(c) Height</w:t>
      </w:r>
    </w:p>
    <w:p>
      <w:pPr>
        <w:spacing w:after="200" w:line="276" w:lineRule="auto"/>
      </w:pPr>
      <w:r>
        <w:t>(d) Arrival order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Severity of illness and resource need</w:t>
      </w:r>
    </w:p>
    <w:p>
      <w:pPr>
        <w:spacing w:after="200" w:line="276" w:lineRule="auto"/>
      </w:pPr>
      <w:r>
        <w:t>🧠 Clinical Rationale: Validated scales prioritise the sickest children in the 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Age alone — a related concept, but it does not match the defining feature asked</w:t>
      </w:r>
    </w:p>
    <w:p>
      <w:pPr>
        <w:spacing w:after="200" w:line="276" w:lineRule="auto"/>
      </w:pPr>
      <w:r>
        <w:t>C. Height — a related concept, but it does not match the defining feature asked</w:t>
      </w:r>
    </w:p>
    <w:p>
      <w:pPr>
        <w:spacing w:after="200" w:line="276" w:lineRule="auto"/>
      </w:pPr>
      <w:r>
        <w:t>D. Arrival order — a related concept, but it does not match the defining feature asked</w:t>
      </w:r>
    </w:p>
    <w:p>
      <w:pPr>
        <w:spacing w:after="200" w:line="276" w:lineRule="auto"/>
      </w:pPr>
      <w:r>
        <w:t>⚠️ Exam Trap: Triage is about who gets treated FIRST, not who is sickest overall — a quiet, 'comfortable' chest-pain patient may be RED.</w:t>
      </w:r>
    </w:p>
    <w:p>
      <w:pPr>
        <w:spacing w:after="200" w:line="276" w:lineRule="auto"/>
      </w:pPr>
      <w:r>
        <w:t>💎 PNC Pearl: Triage categories: RED = immediate/life-threatening, YELLOW = urgent but stable, GREEN = minor, BLACK = dead/dying — treat RED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Anticipatory guidance for parents of a 1-year-old includes</w:t>
      </w:r>
    </w:p>
    <w:p>
      <w:pPr>
        <w:spacing w:after="200" w:line="276" w:lineRule="auto"/>
      </w:pPr>
      <w:r>
        <w:t>(a) Only feeding</w:t>
      </w:r>
    </w:p>
    <w:p>
      <w:pPr>
        <w:spacing w:after="200" w:line="276" w:lineRule="auto"/>
      </w:pPr>
      <w:r>
        <w:t>(b) Only sleeping</w:t>
      </w:r>
    </w:p>
    <w:p>
      <w:pPr>
        <w:spacing w:after="200" w:line="276" w:lineRule="auto"/>
      </w:pPr>
      <w:r>
        <w:t>(c) No guidance</w:t>
      </w:r>
    </w:p>
    <w:p>
      <w:pPr>
        <w:spacing w:after="200" w:line="276" w:lineRule="auto"/>
      </w:pPr>
      <w:r>
        <w:t>(d) Choking/fall prevention, car seats and poison safety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Choking/fall prevention, car seats and poison safety</w:t>
      </w:r>
    </w:p>
    <w:p>
      <w:pPr>
        <w:spacing w:after="200" w:line="276" w:lineRule="auto"/>
      </w:pPr>
      <w:r>
        <w:t>🧠 Clinical Rationale: Age-appropriate safety counselling prevents childhood injuries.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feeding — would be appropriate in a different situation, not this one</w:t>
      </w:r>
    </w:p>
    <w:p>
      <w:pPr>
        <w:spacing w:after="200" w:line="276" w:lineRule="auto"/>
      </w:pPr>
      <w:r>
        <w:t>B. Only sleeping — would be appropriate in a different situation, not this one</w:t>
      </w:r>
    </w:p>
    <w:p>
      <w:pPr>
        <w:spacing w:after="200" w:line="276" w:lineRule="auto"/>
      </w:pPr>
      <w:r>
        <w:t>C. No guidance — would be appropriate in a different situation, not this one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physical feature of Down syndrome is</w:t>
      </w:r>
    </w:p>
    <w:p>
      <w:pPr>
        <w:spacing w:after="200" w:line="276" w:lineRule="auto"/>
      </w:pPr>
      <w:r>
        <w:t>(a) Upward-slanting eyes, single palmar crease and hypotonia</w:t>
      </w:r>
    </w:p>
    <w:p>
      <w:pPr>
        <w:spacing w:after="200" w:line="276" w:lineRule="auto"/>
      </w:pPr>
      <w:r>
        <w:t>(b) Long limbs</w:t>
      </w:r>
    </w:p>
    <w:p>
      <w:pPr>
        <w:spacing w:after="200" w:line="276" w:lineRule="auto"/>
      </w:pPr>
      <w:r>
        <w:t>(c) Normal tone</w:t>
      </w:r>
    </w:p>
    <w:p>
      <w:pPr>
        <w:spacing w:after="200" w:line="276" w:lineRule="auto"/>
      </w:pPr>
      <w:r>
        <w:t>(d) No features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Upward-slanting eyes, single palmar crease and hypotonia</w:t>
      </w:r>
    </w:p>
    <w:p>
      <w:pPr>
        <w:spacing w:after="200" w:line="276" w:lineRule="auto"/>
      </w:pPr>
      <w:r>
        <w:t>🧠 Clinical Rationale: Trisomy 21: characteristic facies, congenital heart disease and developmental delay.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Long limbs — a related concept, but it does not match the defining feature asked</w:t>
      </w:r>
    </w:p>
    <w:p>
      <w:pPr>
        <w:spacing w:after="200" w:line="276" w:lineRule="auto"/>
      </w:pPr>
      <w:r>
        <w:t>C. Normal tone — a related concept, but it does not match the defining feature asked</w:t>
      </w:r>
    </w:p>
    <w:p>
      <w:pPr>
        <w:spacing w:after="200" w:line="276" w:lineRule="auto"/>
      </w:pPr>
      <w:r>
        <w:t>D. No features — a related concept, but it does not match the defining feature asked</w:t>
      </w:r>
    </w:p>
    <w:p>
      <w:pPr>
        <w:spacing w:after="200" w:line="276" w:lineRule="auto"/>
      </w:pPr>
      <w:r>
        <w:t>⚠️ Exam Trap: Atlantoaxial instability in Down syndrome: avoid contact sports and neck hyperextension; cardiac defects are common.</w:t>
      </w:r>
    </w:p>
    <w:p>
      <w:pPr>
        <w:spacing w:after="200" w:line="276" w:lineRule="auto"/>
      </w:pPr>
      <w:r>
        <w:t>💎 PNC Pearl: Down syndrome: hypotonia, cardiac defects and atlantoaxial instability — screen hearing/vision, and avoid neck hyperextension.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Suspected child abuse requires</w:t>
      </w:r>
    </w:p>
    <w:p>
      <w:pPr>
        <w:spacing w:after="200" w:line="276" w:lineRule="auto"/>
      </w:pPr>
      <w:r>
        <w:t>(a) Ignoring the signs</w:t>
      </w:r>
    </w:p>
    <w:p>
      <w:pPr>
        <w:spacing w:after="200" w:line="276" w:lineRule="auto"/>
      </w:pPr>
      <w:r>
        <w:t>(b) Blame</w:t>
      </w:r>
    </w:p>
    <w:p>
      <w:pPr>
        <w:spacing w:after="200" w:line="276" w:lineRule="auto"/>
      </w:pPr>
      <w:r>
        <w:t>(c) Sending home</w:t>
      </w:r>
    </w:p>
    <w:p>
      <w:pPr>
        <w:spacing w:after="200" w:line="276" w:lineRule="auto"/>
      </w:pPr>
      <w:r>
        <w:t>(d) Documentation, reporting per law and ensuring child safety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Documentation, reporting per law and ensuring child safety</w:t>
      </w:r>
    </w:p>
    <w:p>
      <w:pPr>
        <w:spacing w:after="200" w:line="276" w:lineRule="auto"/>
      </w:pPr>
      <w:r>
        <w:t>🧠 Clinical Rationale: Mandatory reporting and safety planning protect the child.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 Abuse - Red Flags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Documentation, reporting per law and ensuring child safety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Ignoring the signs — does not address the immediate life-threatening problem (ABC comes first)</w:t>
      </w:r>
    </w:p>
    <w:p>
      <w:pPr>
        <w:spacing w:after="200" w:line="276" w:lineRule="auto"/>
      </w:pPr>
      <w:r>
        <w:t>B. Blame — does not address the immediate life-threatening problem (ABC comes first)</w:t>
      </w:r>
    </w:p>
    <w:p>
      <w:pPr>
        <w:spacing w:after="200" w:line="276" w:lineRule="auto"/>
      </w:pPr>
      <w:r>
        <w:t>C. Sending home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