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STEMI patient on aspirin develops recurrent chest pain. Adding which agent is MOST appropriate?</w:t>
      </w:r>
    </w:p>
    <w:p>
      <w:pPr>
        <w:spacing w:after="200" w:line="276" w:lineRule="auto"/>
      </w:pPr>
      <w:r>
        <w:t>(a) Warfarin alone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Ticagrelor (or clopidogrel) — dual antiplatelet therapy</w:t>
      </w:r>
    </w:p>
    <w:p>
      <w:pPr>
        <w:spacing w:after="200" w:line="276" w:lineRule="auto"/>
      </w:pPr>
      <w:r>
        <w:t>(d) Digoxin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Ticagrelor (or clopidogrel) — dual antiplatelet therapy</w:t>
      </w:r>
    </w:p>
    <w:p>
      <w:pPr>
        <w:spacing w:after="200" w:line="276" w:lineRule="auto"/>
      </w:pPr>
      <w:r>
        <w:t>🧠 Clinical Rationale: DAPT (aspirin + P2Y12 inhibitor) is standard after STEMI; ticagrelor is preferred over clopidogrel for faster, stronger effect.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ACS - Antiplatelet Strategy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Ticagrelor (or clopidogrel) — dual antiplatelet 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Warfarin alone — correct in another context, but not for this patient/drug link</w:t>
      </w:r>
    </w:p>
    <w:p>
      <w:pPr>
        <w:spacing w:after="200" w:line="276" w:lineRule="auto"/>
      </w:pPr>
      <w:r>
        <w:t>B. Paracetamol — correct in another context, but not for this patient/drug link</w:t>
      </w:r>
    </w:p>
    <w:p>
      <w:pPr>
        <w:spacing w:after="200" w:line="276" w:lineRule="auto"/>
      </w:pPr>
      <w:r>
        <w:t>D. Digoxin — correct in another context, but not for this patient/drug link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heart failure with reduced ejection fraction, spironolactone is added to ACE inhibitor because it</w:t>
      </w:r>
    </w:p>
    <w:p>
      <w:pPr>
        <w:spacing w:after="200" w:line="276" w:lineRule="auto"/>
      </w:pPr>
      <w:r>
        <w:t>(a) Blocks aldosterone, reducing fibrosis and mortality despite potassium-raising effects</w:t>
      </w:r>
    </w:p>
    <w:p>
      <w:pPr>
        <w:spacing w:after="200" w:line="276" w:lineRule="auto"/>
      </w:pPr>
      <w:r>
        <w:t>(b) Lowers sodium</w:t>
      </w:r>
    </w:p>
    <w:p>
      <w:pPr>
        <w:spacing w:after="200" w:line="276" w:lineRule="auto"/>
      </w:pPr>
      <w:r>
        <w:t>(c) Increases potassium loss</w:t>
      </w:r>
    </w:p>
    <w:p>
      <w:pPr>
        <w:spacing w:after="200" w:line="276" w:lineRule="auto"/>
      </w:pPr>
      <w:r>
        <w:t>(d) Sedates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Blocks aldosterone, reducing fibrosis and mortality despite potassium-raising effects</w:t>
      </w:r>
    </w:p>
    <w:p>
      <w:pPr>
        <w:spacing w:after="200" w:line="276" w:lineRule="auto"/>
      </w:pPr>
      <w:r>
        <w:t>🧠 Clinical Rationale: Aldosterone antagonists (eplerenone/spironolactone) reduce HF mortality; monitor potassium and renal function with ACE/ARB.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HF - ACE + Spironolactone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Blocks aldosterone, reducing fibrosis and mortality despite potassium-raising effects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Lowers sodium — correct in another context, but not for this patient/drug link</w:t>
      </w:r>
    </w:p>
    <w:p>
      <w:pPr>
        <w:spacing w:after="200" w:line="276" w:lineRule="auto"/>
      </w:pPr>
      <w:r>
        <w:t>C. Increases potassium loss — correct in another context, but not for this patient/drug link</w:t>
      </w:r>
    </w:p>
    <w:p>
      <w:pPr>
        <w:spacing w:after="200" w:line="276" w:lineRule="auto"/>
      </w:pPr>
      <w:r>
        <w:t>D. Sedates the patient — correct in another context, but not for this patient/drug link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rate control in atrial fibrillation with heart failure, the drug of choice is</w:t>
      </w:r>
    </w:p>
    <w:p>
      <w:pPr>
        <w:spacing w:after="200" w:line="276" w:lineRule="auto"/>
      </w:pPr>
      <w:r>
        <w:t>(a) Verapamil</w:t>
      </w:r>
    </w:p>
    <w:p>
      <w:pPr>
        <w:spacing w:after="200" w:line="276" w:lineRule="auto"/>
      </w:pPr>
      <w:r>
        <w:t>(b) Nifedipine</w:t>
      </w:r>
    </w:p>
    <w:p>
      <w:pPr>
        <w:spacing w:after="200" w:line="276" w:lineRule="auto"/>
      </w:pPr>
      <w:r>
        <w:t>(c) Adenosine</w:t>
      </w:r>
    </w:p>
    <w:p>
      <w:pPr>
        <w:spacing w:after="200" w:line="276" w:lineRule="auto"/>
      </w:pPr>
      <w:r>
        <w:t>(d) Beta-blocker or digoxin (avoid verapamil/diltiazem in severe HF)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Beta-blocker or digoxin (avoid verapamil/diltiazem in severe HF)</w:t>
      </w:r>
    </w:p>
    <w:p>
      <w:pPr>
        <w:spacing w:after="200" w:line="276" w:lineRule="auto"/>
      </w:pPr>
      <w:r>
        <w:t>🧠 Clinical Rationale: Non-dihydropyridine CCBs worsen systolic HF; beta-blockers and digoxin control rate safely.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AF - Rate vs Rhythm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Beta-blocker or digoxin (avoid verapamil/diltiazem in severe HF)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Verapamil — correct in another context, but not for this patient/drug link</w:t>
      </w:r>
    </w:p>
    <w:p>
      <w:pPr>
        <w:spacing w:after="200" w:line="276" w:lineRule="auto"/>
      </w:pPr>
      <w:r>
        <w:t>B. Nifedipine — correct in another context, but not for this patient/drug link</w:t>
      </w:r>
    </w:p>
    <w:p>
      <w:pPr>
        <w:spacing w:after="200" w:line="276" w:lineRule="auto"/>
      </w:pPr>
      <w:r>
        <w:t>C. Adenosine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variant (Prinzmetal) angina — coronary spasm — responds BEST to</w:t>
      </w:r>
    </w:p>
    <w:p>
      <w:pPr>
        <w:spacing w:after="200" w:line="276" w:lineRule="auto"/>
      </w:pPr>
      <w:r>
        <w:t>(a) Beta-blockers alone</w:t>
      </w:r>
    </w:p>
    <w:p>
      <w:pPr>
        <w:spacing w:after="200" w:line="276" w:lineRule="auto"/>
      </w:pPr>
      <w:r>
        <w:t>(b) Calcium-channel blockers (e.g., diltiazem/verapamil) or nitrates</w:t>
      </w:r>
    </w:p>
    <w:p>
      <w:pPr>
        <w:spacing w:after="200" w:line="276" w:lineRule="auto"/>
      </w:pPr>
      <w:r>
        <w:t>(c) Digoxin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Calcium-channel blockers (e.g., diltiazem/verapamil) or nitrates</w:t>
      </w:r>
    </w:p>
    <w:p>
      <w:pPr>
        <w:spacing w:after="200" w:line="276" w:lineRule="auto"/>
      </w:pPr>
      <w:r>
        <w:t>🧠 Clinical Rationale: Variant angina is spasm-mediated; CCBs relieve spasm whereas beta-blockers can worsen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Angina - Drug Choice by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Calcium-channel blockers (e.g., diltiazem/verapamil) or nitrates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Beta-blockers alone — correct in another context, but not for this patient/drug link</w:t>
      </w:r>
    </w:p>
    <w:p>
      <w:pPr>
        <w:spacing w:after="200" w:line="276" w:lineRule="auto"/>
      </w:pPr>
      <w:r>
        <w:t>C. Digoxin — correct in another context, but not for this patient/drug link</w:t>
      </w:r>
    </w:p>
    <w:p>
      <w:pPr>
        <w:spacing w:after="200" w:line="276" w:lineRule="auto"/>
      </w:pPr>
      <w:r>
        <w:t>D. Diuretics — correct in another context, but not for this patient/drug link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hypertensive emergency with acute pulmonary oedema is BEST managed with</w:t>
      </w:r>
    </w:p>
    <w:p>
      <w:pPr>
        <w:spacing w:after="200" w:line="276" w:lineRule="auto"/>
      </w:pPr>
      <w:r>
        <w:t>(a) Oral nifedipine capsule bite</w:t>
      </w:r>
    </w:p>
    <w:p>
      <w:pPr>
        <w:spacing w:after="200" w:line="276" w:lineRule="auto"/>
      </w:pPr>
      <w:r>
        <w:t>(b) Hydralazine IM alone</w:t>
      </w:r>
    </w:p>
    <w:p>
      <w:pPr>
        <w:spacing w:after="200" w:line="276" w:lineRule="auto"/>
      </w:pPr>
      <w:r>
        <w:t>(c) IV sodium nitroprusside or nitroglycerin (afterload reduction)</w:t>
      </w:r>
    </w:p>
    <w:p>
      <w:pPr>
        <w:spacing w:after="200" w:line="276" w:lineRule="auto"/>
      </w:pPr>
      <w:r>
        <w:t>(d) Propranolol IV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sodium nitroprusside or nitroglycerin (afterload reduction)</w:t>
      </w:r>
    </w:p>
    <w:p>
      <w:pPr>
        <w:spacing w:after="200" w:line="276" w:lineRule="auto"/>
      </w:pPr>
      <w:r>
        <w:t>🧠 Clinical Rationale: IV vasodilators titrated rapidly treat hypertensive emergencies; avoid sublingual nifedipine (uncontrolled drop).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Hypertensive Emergency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IV sodium nitroprusside or nitroglycerin (afterload reduction)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nifedipine capsule bite — correct in another context, but not for this patient/drug link</w:t>
      </w:r>
    </w:p>
    <w:p>
      <w:pPr>
        <w:spacing w:after="200" w:line="276" w:lineRule="auto"/>
      </w:pPr>
      <w:r>
        <w:t>B. Hydralazine IM alone — correct in another context, but not for this patient/drug link</w:t>
      </w:r>
    </w:p>
    <w:p>
      <w:pPr>
        <w:spacing w:after="200" w:line="276" w:lineRule="auto"/>
      </w:pPr>
      <w:r>
        <w:t>D. Propranolol IV — correct in another context, but not for this patient/drug link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Digoxin slows the ventricular rate in atrial fibrillation by</w:t>
      </w:r>
    </w:p>
    <w:p>
      <w:pPr>
        <w:spacing w:after="200" w:line="276" w:lineRule="auto"/>
      </w:pPr>
      <w:r>
        <w:t>(a) Blocking beta receptors</w:t>
      </w:r>
    </w:p>
    <w:p>
      <w:pPr>
        <w:spacing w:after="200" w:line="276" w:lineRule="auto"/>
      </w:pPr>
      <w:r>
        <w:t>(b) Increasing vagal tone on the AV node (rate control)</w:t>
      </w:r>
    </w:p>
    <w:p>
      <w:pPr>
        <w:spacing w:after="200" w:line="276" w:lineRule="auto"/>
      </w:pPr>
      <w:r>
        <w:t>(c) Shortening the refractory period</w:t>
      </w:r>
    </w:p>
    <w:p>
      <w:pPr>
        <w:spacing w:after="200" w:line="276" w:lineRule="auto"/>
      </w:pPr>
      <w:r>
        <w:t>(d) Vasodilating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Increasing vagal tone on the AV node (rate control)</w:t>
      </w:r>
    </w:p>
    <w:p>
      <w:pPr>
        <w:spacing w:after="200" w:line="276" w:lineRule="auto"/>
      </w:pPr>
      <w:r>
        <w:t>🧠 Clinical Rationale: Digoxin enhances parasympathetic AV-nodal blockade — controls resting rate, less effective during exertion.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Digoxin - Mechanism in AF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Increasing vagal tone on the AV node (rate control)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Blocking beta receptors — correct in another context, but not for this patient/drug link</w:t>
      </w:r>
    </w:p>
    <w:p>
      <w:pPr>
        <w:spacing w:after="200" w:line="276" w:lineRule="auto"/>
      </w:pPr>
      <w:r>
        <w:t>C. Shortening the refractory period — correct in another context, but not for this patient/drug link</w:t>
      </w:r>
    </w:p>
    <w:p>
      <w:pPr>
        <w:spacing w:after="200" w:line="276" w:lineRule="auto"/>
      </w:pPr>
      <w:r>
        <w:t>D. Vasodilating — correct in another context, but not for this patient/drug link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platelet count falling &gt;50% on day 5-10 of heparin with thrombosis suggests</w:t>
      </w:r>
    </w:p>
    <w:p>
      <w:pPr>
        <w:spacing w:after="200" w:line="276" w:lineRule="auto"/>
      </w:pPr>
      <w:r>
        <w:t>(a) Heparin-induced thrombocytopenia (HIT) — STOP heparin, use alternative anticoagulant</w:t>
      </w:r>
    </w:p>
    <w:p>
      <w:pPr>
        <w:spacing w:after="200" w:line="276" w:lineRule="auto"/>
      </w:pPr>
      <w:r>
        <w:t>(b) Normal recovery</w:t>
      </w:r>
    </w:p>
    <w:p>
      <w:pPr>
        <w:spacing w:after="200" w:line="276" w:lineRule="auto"/>
      </w:pPr>
      <w:r>
        <w:t>(c) Lab error only</w:t>
      </w:r>
    </w:p>
    <w:p>
      <w:pPr>
        <w:spacing w:after="200" w:line="276" w:lineRule="auto"/>
      </w:pPr>
      <w:r>
        <w:t>(d) Vitamin K deficiency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Heparin-induced thrombocytopenia (HIT) — STOP heparin, use alternative anticoagulant</w:t>
      </w:r>
    </w:p>
    <w:p>
      <w:pPr>
        <w:spacing w:after="200" w:line="276" w:lineRule="auto"/>
      </w:pPr>
      <w:r>
        <w:t>🧠 Clinical Rationale: HIT is immune-mediated — replace heparin with argatroban/bivalirudin (NOT warfarin alone or LMWH).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50%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Heparin - HIT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Heparin-induced thrombocytopenia (HIT) — STOP heparin, use alternative anticoagulant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recovery — correct in another context, but not for this patient/drug link</w:t>
      </w:r>
    </w:p>
    <w:p>
      <w:pPr>
        <w:spacing w:after="200" w:line="276" w:lineRule="auto"/>
      </w:pPr>
      <w:r>
        <w:t>C. Lab error only — correct in another context, but not for this patient/drug link</w:t>
      </w:r>
    </w:p>
    <w:p>
      <w:pPr>
        <w:spacing w:after="200" w:line="276" w:lineRule="auto"/>
      </w:pPr>
      <w:r>
        <w:t>D. Vitamin K deficiency — correct in another context, but not for this patient/drug link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Warfarin's effect is INCREASED (bleeding risk) by which interaction?</w:t>
      </w:r>
    </w:p>
    <w:p>
      <w:pPr>
        <w:spacing w:after="200" w:line="276" w:lineRule="auto"/>
      </w:pPr>
      <w:r>
        <w:t>(a) Amiodarone and broad-spectrum antibiotics (CYP inhibition, vitamin K loss)</w:t>
      </w:r>
    </w:p>
    <w:p>
      <w:pPr>
        <w:spacing w:after="200" w:line="276" w:lineRule="auto"/>
      </w:pPr>
      <w:r>
        <w:t>(b) Rifampicin</w:t>
      </w:r>
    </w:p>
    <w:p>
      <w:pPr>
        <w:spacing w:after="200" w:line="276" w:lineRule="auto"/>
      </w:pPr>
      <w:r>
        <w:t>(c) Carbamazepine</w:t>
      </w:r>
    </w:p>
    <w:p>
      <w:pPr>
        <w:spacing w:after="200" w:line="276" w:lineRule="auto"/>
      </w:pPr>
      <w:r>
        <w:t>(d) Oral contraceptives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Amiodarone and broad-spectrum antibiotics (CYP inhibition, vitamin K loss)</w:t>
      </w:r>
    </w:p>
    <w:p>
      <w:pPr>
        <w:spacing w:after="200" w:line="276" w:lineRule="auto"/>
      </w:pPr>
      <w:r>
        <w:t>🧠 Clinical Rationale: CYP2C9 inhibitors (amiodarone, metronidazole) raise warfarin levels; inducers (rifampicin, phenytoin) lower it.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Warfarin - Interactions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Amiodarone and broad-spectrum antibiotics (CYP inhibition, vitamin K loss)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Rifampicin — correct in another context, but not for this patient/drug link</w:t>
      </w:r>
    </w:p>
    <w:p>
      <w:pPr>
        <w:spacing w:after="200" w:line="276" w:lineRule="auto"/>
      </w:pPr>
      <w:r>
        <w:t>C. Carbamazepine — correct in another context, but not for this patient/drug link</w:t>
      </w:r>
    </w:p>
    <w:p>
      <w:pPr>
        <w:spacing w:after="200" w:line="276" w:lineRule="auto"/>
      </w:pPr>
      <w:r>
        <w:t>D. Oral contraceptives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Major bleeding on dabigatran is reversed with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Protamine</w:t>
      </w:r>
    </w:p>
    <w:p>
      <w:pPr>
        <w:spacing w:after="200" w:line="276" w:lineRule="auto"/>
      </w:pPr>
      <w:r>
        <w:t>(c) Idarucizumab (specific reversal agent)</w:t>
      </w:r>
    </w:p>
    <w:p>
      <w:pPr>
        <w:spacing w:after="200" w:line="276" w:lineRule="auto"/>
      </w:pPr>
      <w:r>
        <w:t>(d) FFP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Idarucizumab (specific reversal agent)</w:t>
      </w:r>
    </w:p>
    <w:p>
      <w:pPr>
        <w:spacing w:after="200" w:line="276" w:lineRule="auto"/>
      </w:pPr>
      <w:r>
        <w:t>🧠 Clinical Rationale: Idarucizumab reverses dabigatran; andexanet alfa reverses factor Xa inhibitors (rivaroxaban/apixaban).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DOAC - Reversal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Idarucizumab (specific reversal agent)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K — correct in another context, but not for this patient/drug link</w:t>
      </w:r>
    </w:p>
    <w:p>
      <w:pPr>
        <w:spacing w:after="200" w:line="276" w:lineRule="auto"/>
      </w:pPr>
      <w:r>
        <w:t>B. Protamine — correct in another context, but not for this patient/drug link</w:t>
      </w:r>
    </w:p>
    <w:p>
      <w:pPr>
        <w:spacing w:after="200" w:line="276" w:lineRule="auto"/>
      </w:pPr>
      <w:r>
        <w:t>D. FFP alone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Morphine in ACS can reduce the absorption of oral P2Y12 inhibitors because it</w:t>
      </w:r>
    </w:p>
    <w:p>
      <w:pPr>
        <w:spacing w:after="200" w:line="276" w:lineRule="auto"/>
      </w:pPr>
      <w:r>
        <w:t>(a) Raises BP</w:t>
      </w:r>
    </w:p>
    <w:p>
      <w:pPr>
        <w:spacing w:after="200" w:line="276" w:lineRule="auto"/>
      </w:pPr>
      <w:r>
        <w:t>(b) Is an antiplatelet</w:t>
      </w:r>
    </w:p>
    <w:p>
      <w:pPr>
        <w:spacing w:after="200" w:line="276" w:lineRule="auto"/>
      </w:pPr>
      <w:r>
        <w:t>(c) Delays gastric emptying, slowing drug uptake</w:t>
      </w:r>
    </w:p>
    <w:p>
      <w:pPr>
        <w:spacing w:after="200" w:line="276" w:lineRule="auto"/>
      </w:pPr>
      <w:r>
        <w:t>(d) Causes bleeding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Delays gastric emptying, slowing drug uptake</w:t>
      </w:r>
    </w:p>
    <w:p>
      <w:pPr>
        <w:spacing w:after="200" w:line="276" w:lineRule="auto"/>
      </w:pPr>
      <w:r>
        <w:t>🧠 Clinical Rationale: Morphine slows GI transit — consider IV antiplatelet (cangrelor) or parenteral alternatives when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 - Morphine Interaction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Delays gastric emptying, slowing drug uptake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Raises BP — correct in another context, but not for this patient/drug link</w:t>
      </w:r>
    </w:p>
    <w:p>
      <w:pPr>
        <w:spacing w:after="200" w:line="276" w:lineRule="auto"/>
      </w:pPr>
      <w:r>
        <w:t>B. Is an antiplatelet — correct in another context, but not for this patient/drug link</w:t>
      </w:r>
    </w:p>
    <w:p>
      <w:pPr>
        <w:spacing w:after="200" w:line="276" w:lineRule="auto"/>
      </w:pPr>
      <w:r>
        <w:t>D. Causes bleeding — correct in another context, but not for this patient/drug link</w:t>
      </w:r>
    </w:p>
    <w:p>
      <w:pPr>
        <w:spacing w:after="200" w:line="276" w:lineRule="auto"/>
      </w:pPr>
      <w:r>
        <w:t>⚠️ Exam Trap: The morphine option is tested as: respiratory depression (monitor RR) + naloxone antidote — not tachycardia or hypertension.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Morphine's most dangerous adverse effect is respiratory depression — monitor rate &lt; 12/min; antidote is naloxone.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Morphine</w:t>
      </w:r>
    </w:p>
    <w:p>
      <w:pPr>
        <w:spacing w:after="200" w:line="276" w:lineRule="auto"/>
      </w:pPr>
      <w:r>
        <w:t>→ Major adverse effect: Respiratory depression (RR &lt; 12/min)</w:t>
      </w:r>
    </w:p>
    <w:p>
      <w:pPr>
        <w:spacing w:after="200" w:line="276" w:lineRule="auto"/>
      </w:pPr>
      <w:r>
        <w:t>→ Antidote: Naloxone (Narcan)</w:t>
      </w:r>
    </w:p>
    <w:p>
      <w:pPr>
        <w:spacing w:after="200" w:line="276" w:lineRule="auto"/>
      </w:pPr>
      <w:r>
        <w:t>→ Other effects: constipation, sedation, orthostatic hypotension, urinary retention</w:t>
      </w:r>
    </w:p>
    <w:p>
      <w:pPr>
        <w:spacing w:after="200" w:line="276" w:lineRule="auto"/>
      </w:pPr>
      <w:r>
        <w:t>→ Caution in: COPD, head injury, asthma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Statin-associated myopathy risk increases with</w:t>
      </w:r>
    </w:p>
    <w:p>
      <w:pPr>
        <w:spacing w:after="200" w:line="276" w:lineRule="auto"/>
      </w:pPr>
      <w:r>
        <w:t>(a) Aspirin</w:t>
      </w:r>
    </w:p>
    <w:p>
      <w:pPr>
        <w:spacing w:after="200" w:line="276" w:lineRule="auto"/>
      </w:pPr>
      <w:r>
        <w:t>(b) Amlodipine</w:t>
      </w:r>
    </w:p>
    <w:p>
      <w:pPr>
        <w:spacing w:after="200" w:line="276" w:lineRule="auto"/>
      </w:pPr>
      <w:r>
        <w:t>(c) Metformin</w:t>
      </w:r>
    </w:p>
    <w:p>
      <w:pPr>
        <w:spacing w:after="200" w:line="276" w:lineRule="auto"/>
      </w:pPr>
      <w:r>
        <w:t>(d) Concurrent fibrates (gemfibrozil), renal disease and hypothyroidism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Concurrent fibrates (gemfibrozil), renal disease and hypothyroidism</w:t>
      </w:r>
    </w:p>
    <w:p>
      <w:pPr>
        <w:spacing w:after="200" w:line="276" w:lineRule="auto"/>
      </w:pPr>
      <w:r>
        <w:t>🧠 Clinical Rationale: Fibrate-statin combination and renal/hepatic disease raise myopathy and rhabdomyolysis risk; check CK.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Statin - Myopathy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Concurrent fibrates (gemfibrozil), renal disease and hypothyroidism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— correct in another context, but not for this patient/drug link</w:t>
      </w:r>
    </w:p>
    <w:p>
      <w:pPr>
        <w:spacing w:after="200" w:line="276" w:lineRule="auto"/>
      </w:pPr>
      <w:r>
        <w:t>B. Amlodipine — correct in another context, but not for this patient/drug link</w:t>
      </w:r>
    </w:p>
    <w:p>
      <w:pPr>
        <w:spacing w:after="200" w:line="276" w:lineRule="auto"/>
      </w:pPr>
      <w:r>
        <w:t>C. Metformin — correct in another context, but not for this patient/drug link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absolute contraindication to beta-blockade in acute heart failure is</w:t>
      </w:r>
    </w:p>
    <w:p>
      <w:pPr>
        <w:spacing w:after="200" w:line="276" w:lineRule="auto"/>
      </w:pPr>
      <w:r>
        <w:t>(a) Cardiogenic shock or severe decompensated failure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Old age</w:t>
      </w:r>
    </w:p>
    <w:p>
      <w:pPr>
        <w:spacing w:after="200" w:line="276" w:lineRule="auto"/>
      </w:pPr>
      <w:r>
        <w:t>(d) Post-MI state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Cardiogenic shock or severe decompensated failure</w:t>
      </w:r>
    </w:p>
    <w:p>
      <w:pPr>
        <w:spacing w:after="200" w:line="276" w:lineRule="auto"/>
      </w:pPr>
      <w:r>
        <w:t>🧠 Clinical Rationale: Beta-blockers are started after stabilisation; they worsen acute decompensated failure/shock.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Beta-Blocker - Contraindication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Cardiogenic shock or severe decompensated failure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— correct in another context, but not for this patient/drug link</w:t>
      </w:r>
    </w:p>
    <w:p>
      <w:pPr>
        <w:spacing w:after="200" w:line="276" w:lineRule="auto"/>
      </w:pPr>
      <w:r>
        <w:t>C. Old age — correct in another context, but not for this patient/drug link</w:t>
      </w:r>
    </w:p>
    <w:p>
      <w:pPr>
        <w:spacing w:after="200" w:line="276" w:lineRule="auto"/>
      </w:pPr>
      <w:r>
        <w:t>D. Post-MI state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symptomatic peripheral arterial disease, which drug reduces cardiovascular events?</w:t>
      </w:r>
    </w:p>
    <w:p>
      <w:pPr>
        <w:spacing w:after="200" w:line="276" w:lineRule="auto"/>
      </w:pPr>
      <w:r>
        <w:t>(a) Warfarin routinely</w:t>
      </w:r>
    </w:p>
    <w:p>
      <w:pPr>
        <w:spacing w:after="200" w:line="276" w:lineRule="auto"/>
      </w:pPr>
      <w:r>
        <w:t>(b) Digoxin</w:t>
      </w:r>
    </w:p>
    <w:p>
      <w:pPr>
        <w:spacing w:after="200" w:line="276" w:lineRule="auto"/>
      </w:pPr>
      <w:r>
        <w:t>(c) Furosemide</w:t>
      </w:r>
    </w:p>
    <w:p>
      <w:pPr>
        <w:spacing w:after="200" w:line="276" w:lineRule="auto"/>
      </w:pPr>
      <w:r>
        <w:t>(d) Aspirin or clopidogrel (antiplatelet therapy)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Aspirin or clopidogrel (antiplatelet therapy)</w:t>
      </w:r>
    </w:p>
    <w:p>
      <w:pPr>
        <w:spacing w:after="200" w:line="276" w:lineRule="auto"/>
      </w:pPr>
      <w:r>
        <w:t>🧠 Clinical Rationale: Antiplatelets reduce MI/stroke in PAD; clopidogrel is an alternative to aspirin.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PAD - Antiplatelet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Aspirin or clopidogrel (antiplatelet therapy)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Warfarin routinely — correct in another context, but not for this patient/drug link</w:t>
      </w:r>
    </w:p>
    <w:p>
      <w:pPr>
        <w:spacing w:after="200" w:line="276" w:lineRule="auto"/>
      </w:pPr>
      <w:r>
        <w:t>B. Digoxin — correct in another context, but not for this patient/drug link</w:t>
      </w:r>
    </w:p>
    <w:p>
      <w:pPr>
        <w:spacing w:after="200" w:line="276" w:lineRule="auto"/>
      </w:pPr>
      <w:r>
        <w:t>C. Furosemide — correct in another context, but not for this patient/drug link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an alpha-blocker (tamsulosin) develops syncope on standing. The cause is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Orthostatic hypotension (alpha-blockade)</w:t>
      </w:r>
    </w:p>
    <w:p>
      <w:pPr>
        <w:spacing w:after="200" w:line="276" w:lineRule="auto"/>
      </w:pPr>
      <w:r>
        <w:t>(c) Bradycardia from beta-blockade</w:t>
      </w:r>
    </w:p>
    <w:p>
      <w:pPr>
        <w:spacing w:after="200" w:line="276" w:lineRule="auto"/>
      </w:pPr>
      <w:r>
        <w:t>(d) Fluid retention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Orthostatic hypotension (alpha-blockade)</w:t>
      </w:r>
    </w:p>
    <w:p>
      <w:pPr>
        <w:spacing w:after="200" w:line="276" w:lineRule="auto"/>
      </w:pPr>
      <w:r>
        <w:t>🧠 Clinical Rationale: Alpha-blockers relax vascular tone — advise rising slowly and monitor BP.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Syncope — transient cerebral hypoperfusion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Syncope - Drug-Induced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Orthostatic hypotension (alpha-blockade)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correct in another context, but not for this patient/drug link</w:t>
      </w:r>
    </w:p>
    <w:p>
      <w:pPr>
        <w:spacing w:after="200" w:line="276" w:lineRule="auto"/>
      </w:pPr>
      <w:r>
        <w:t>C. Bradycardia from beta-blockade — correct in another context, but not for this patient/drug link</w:t>
      </w:r>
    </w:p>
    <w:p>
      <w:pPr>
        <w:spacing w:after="200" w:line="276" w:lineRule="auto"/>
      </w:pPr>
      <w:r>
        <w:t>D. Fluid retention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shock-refractory VF/VT, both amiodarone and lidocaine are options; amiodarone is preferred when</w:t>
      </w:r>
    </w:p>
    <w:p>
      <w:pPr>
        <w:spacing w:after="200" w:line="276" w:lineRule="auto"/>
      </w:pPr>
      <w:r>
        <w:t>(a) BP is very low</w:t>
      </w:r>
    </w:p>
    <w:p>
      <w:pPr>
        <w:spacing w:after="200" w:line="276" w:lineRule="auto"/>
      </w:pPr>
      <w:r>
        <w:t>(b) The patient is pregnant</w:t>
      </w:r>
    </w:p>
    <w:p>
      <w:pPr>
        <w:spacing w:after="200" w:line="276" w:lineRule="auto"/>
      </w:pPr>
      <w:r>
        <w:t>(c) The patient has structural heart disease or recurrent arrhythmia</w:t>
      </w:r>
    </w:p>
    <w:p>
      <w:pPr>
        <w:spacing w:after="200" w:line="276" w:lineRule="auto"/>
      </w:pPr>
      <w:r>
        <w:t>(d) Lidocaine is unavailable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patient has structural heart disease or recurrent arrhythmia</w:t>
      </w:r>
    </w:p>
    <w:p>
      <w:pPr>
        <w:spacing w:after="200" w:line="276" w:lineRule="auto"/>
      </w:pPr>
      <w:r>
        <w:t>🧠 Clinical Rationale: Amiodarone is broadly effective; lidocaine suits specific settings — follow ACLS protocol.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Cardiac Arrest - Amiodarone vs Lidocaine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The patient has structural heart disease or recurrent arrhythmia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BP is very low — correct in another context, but not for this patient/drug link</w:t>
      </w:r>
    </w:p>
    <w:p>
      <w:pPr>
        <w:spacing w:after="200" w:line="276" w:lineRule="auto"/>
      </w:pPr>
      <w:r>
        <w:t>B. The patient is pregnant — correct in another context, but not for this patient/drug link</w:t>
      </w:r>
    </w:p>
    <w:p>
      <w:pPr>
        <w:spacing w:after="200" w:line="276" w:lineRule="auto"/>
      </w:pPr>
      <w:r>
        <w:t>D. Lidocaine is unavailable only — correct in another context, but not for this patient/drug link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kidney injury, which medication class is a common nephrotoxic culprit needing review?</w:t>
      </w:r>
    </w:p>
    <w:p>
      <w:pPr>
        <w:spacing w:after="200" w:line="276" w:lineRule="auto"/>
      </w:pPr>
      <w:r>
        <w:t>(a) Paracetamol</w:t>
      </w:r>
    </w:p>
    <w:p>
      <w:pPr>
        <w:spacing w:after="200" w:line="276" w:lineRule="auto"/>
      </w:pPr>
      <w:r>
        <w:t>(b) NSAIDs and aminoglycosides</w:t>
      </w:r>
    </w:p>
    <w:p>
      <w:pPr>
        <w:spacing w:after="200" w:line="276" w:lineRule="auto"/>
      </w:pPr>
      <w:r>
        <w:t>(c) Penicillins</w:t>
      </w:r>
    </w:p>
    <w:p>
      <w:pPr>
        <w:spacing w:after="200" w:line="276" w:lineRule="auto"/>
      </w:pPr>
      <w:r>
        <w:t>(d) Macrolides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NSAIDs and aminoglycosides</w:t>
      </w:r>
    </w:p>
    <w:p>
      <w:pPr>
        <w:spacing w:after="200" w:line="276" w:lineRule="auto"/>
      </w:pPr>
      <w:r>
        <w:t>🧠 Clinical Rationale: NSAIDs reduce renal perfusion; aminoglycosides are directly nephrotoxic — review and adjust.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AKI - Drug Adjustment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NSAIDs and aminoglycosides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Paracetamol — correct in another context, but not for this patient/drug link</w:t>
      </w:r>
    </w:p>
    <w:p>
      <w:pPr>
        <w:spacing w:after="200" w:line="276" w:lineRule="auto"/>
      </w:pPr>
      <w:r>
        <w:t>C. Penicillins — correct in another context, but not for this patient/drug link</w:t>
      </w:r>
    </w:p>
    <w:p>
      <w:pPr>
        <w:spacing w:after="200" w:line="276" w:lineRule="auto"/>
      </w:pPr>
      <w:r>
        <w:t>D. Macrolides — correct in another context, but not for this patient/drug link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Renal anaemia is treated with</w:t>
      </w:r>
    </w:p>
    <w:p>
      <w:pPr>
        <w:spacing w:after="200" w:line="276" w:lineRule="auto"/>
      </w:pPr>
      <w:r>
        <w:t>(a) Blood transfusion routinely</w:t>
      </w:r>
    </w:p>
    <w:p>
      <w:pPr>
        <w:spacing w:after="200" w:line="276" w:lineRule="auto"/>
      </w:pPr>
      <w:r>
        <w:t>(b) Folic acid alone</w:t>
      </w:r>
    </w:p>
    <w:p>
      <w:pPr>
        <w:spacing w:after="200" w:line="276" w:lineRule="auto"/>
      </w:pPr>
      <w:r>
        <w:t>(c) Vitamin B12 injections</w:t>
      </w:r>
    </w:p>
    <w:p>
      <w:pPr>
        <w:spacing w:after="200" w:line="276" w:lineRule="auto"/>
      </w:pPr>
      <w:r>
        <w:t>(d) Erythropoiesis-stimulating agents plus iron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Erythropoiesis-stimulating agents plus iron</w:t>
      </w:r>
    </w:p>
    <w:p>
      <w:pPr>
        <w:spacing w:after="200" w:line="276" w:lineRule="auto"/>
      </w:pPr>
      <w:r>
        <w:t>🧠 Clinical Rationale: ESA + iron replace deficient erythropoietin; keep Hb ~10-11.5 g/dL without overshoot.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CKD - Anaemia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Erythropoiesis-stimulating agents plus iron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transfusion routinely — correct in another context, but not for this patient/drug link</w:t>
      </w:r>
    </w:p>
    <w:p>
      <w:pPr>
        <w:spacing w:after="200" w:line="276" w:lineRule="auto"/>
      </w:pPr>
      <w:r>
        <w:t>B. Folic acid alone — correct in another context, but not for this patient/drug link</w:t>
      </w:r>
    </w:p>
    <w:p>
      <w:pPr>
        <w:spacing w:after="200" w:line="276" w:lineRule="auto"/>
      </w:pPr>
      <w:r>
        <w:t>C. Vitamin B12 injections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Hyperphosphataemia in CKD is managed with</w:t>
      </w:r>
    </w:p>
    <w:p>
      <w:pPr>
        <w:spacing w:after="200" w:line="276" w:lineRule="auto"/>
      </w:pPr>
      <w:r>
        <w:t>(a) More dietary phosphate</w:t>
      </w:r>
    </w:p>
    <w:p>
      <w:pPr>
        <w:spacing w:after="200" w:line="276" w:lineRule="auto"/>
      </w:pPr>
      <w:r>
        <w:t>(b) Vitamin D alone</w:t>
      </w:r>
    </w:p>
    <w:p>
      <w:pPr>
        <w:spacing w:after="200" w:line="276" w:lineRule="auto"/>
      </w:pPr>
      <w:r>
        <w:t>(c) Iron tablets</w:t>
      </w:r>
    </w:p>
    <w:p>
      <w:pPr>
        <w:spacing w:after="200" w:line="276" w:lineRule="auto"/>
      </w:pPr>
      <w:r>
        <w:t>(d) Oral phosphate binders (calcium/sevlamer) taken with meals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Oral phosphate binders (calcium/sevlamer) taken with meals</w:t>
      </w:r>
    </w:p>
    <w:p>
      <w:pPr>
        <w:spacing w:after="200" w:line="276" w:lineRule="auto"/>
      </w:pPr>
      <w:r>
        <w:t>🧠 Clinical Rationale: Binders chelate dietary phosphate; also restrict intake and treat secondary hyperparathyroidism.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ESRD - Phosphate Binder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Oral phosphate binders (calcium/sevlamer) taken with meals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dietary phosphate — correct in another context, but not for this patient/drug link</w:t>
      </w:r>
    </w:p>
    <w:p>
      <w:pPr>
        <w:spacing w:after="200" w:line="276" w:lineRule="auto"/>
      </w:pPr>
      <w:r>
        <w:t>B. Vitamin D alone — correct in another context, but not for this patient/drug link</w:t>
      </w:r>
    </w:p>
    <w:p>
      <w:pPr>
        <w:spacing w:after="200" w:line="276" w:lineRule="auto"/>
      </w:pPr>
      <w:r>
        <w:t>C. Iron tablets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hyperkalaemia in CKD may respond to</w:t>
      </w:r>
    </w:p>
    <w:p>
      <w:pPr>
        <w:spacing w:after="200" w:line="276" w:lineRule="auto"/>
      </w:pPr>
      <w:r>
        <w:t>(a) Low-potassium diet and sodium polystyrene sulfonate (or newer binders)</w:t>
      </w:r>
    </w:p>
    <w:p>
      <w:pPr>
        <w:spacing w:after="200" w:line="276" w:lineRule="auto"/>
      </w:pPr>
      <w:r>
        <w:t>(b) Extra potassium</w:t>
      </w:r>
    </w:p>
    <w:p>
      <w:pPr>
        <w:spacing w:after="200" w:line="276" w:lineRule="auto"/>
      </w:pPr>
      <w:r>
        <w:t>(c) Furosemide always</w:t>
      </w:r>
    </w:p>
    <w:p>
      <w:pPr>
        <w:spacing w:after="200" w:line="276" w:lineRule="auto"/>
      </w:pPr>
      <w:r>
        <w:t>(d) Digoxin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Low-potassium diet and sodium polystyrene sulfonate (or newer binders)</w:t>
      </w:r>
    </w:p>
    <w:p>
      <w:pPr>
        <w:spacing w:after="200" w:line="276" w:lineRule="auto"/>
      </w:pPr>
      <w:r>
        <w:t>🧠 Clinical Rationale: Dietary restriction and potassium binders (patiromer/SPS) control chronic hyperkalaemia.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CKD - Potassium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Low-potassium diet and sodium polystyrene sulfonate (or newer binders)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Extra potassium — correct in another context, but not for this patient/drug link</w:t>
      </w:r>
    </w:p>
    <w:p>
      <w:pPr>
        <w:spacing w:after="200" w:line="276" w:lineRule="auto"/>
      </w:pPr>
      <w:r>
        <w:t>C. Furosemide always — correct in another context, but not for this patient/drug link</w:t>
      </w:r>
    </w:p>
    <w:p>
      <w:pPr>
        <w:spacing w:after="200" w:line="276" w:lineRule="auto"/>
      </w:pPr>
      <w:r>
        <w:t>D. Digoxin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treatment of minimal-change nephrotic syndrome in adults is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Corticosteroids (prednisolone)</w:t>
      </w:r>
    </w:p>
    <w:p>
      <w:pPr>
        <w:spacing w:after="200" w:line="276" w:lineRule="auto"/>
      </w:pPr>
      <w:r>
        <w:t>(c) Immunosuppressants first</w:t>
      </w:r>
    </w:p>
    <w:p>
      <w:pPr>
        <w:spacing w:after="200" w:line="276" w:lineRule="auto"/>
      </w:pPr>
      <w:r>
        <w:t>(d) Diuretics alone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Corticosteroids (prednisolone)</w:t>
      </w:r>
    </w:p>
    <w:p>
      <w:pPr>
        <w:spacing w:after="200" w:line="276" w:lineRule="auto"/>
      </w:pPr>
      <w:r>
        <w:t>🧠 Clinical Rationale: Steroids induce remission in minimal-change disease; monitor relapse and steroid side effects.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Nephrotic Syndrome - Drugs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Corticosteroids (prednisolone)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correct in another context, but not for this patient/drug link</w:t>
      </w:r>
    </w:p>
    <w:p>
      <w:pPr>
        <w:spacing w:after="200" w:line="276" w:lineRule="auto"/>
      </w:pPr>
      <w:r>
        <w:t>C. Immunosuppressants first — correct in another context, but not for this patient/drug link</w:t>
      </w:r>
    </w:p>
    <w:p>
      <w:pPr>
        <w:spacing w:after="200" w:line="276" w:lineRule="auto"/>
      </w:pPr>
      <w:r>
        <w:t>D. Diuretics alone — correct in another context, but not for this patient/drug link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