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child with uncontrolled persistent asthma despite low-dose ICS should receive</w:t>
      </w:r>
    </w:p>
    <w:p>
      <w:pPr>
        <w:spacing w:after="200" w:line="276" w:lineRule="auto"/>
      </w:pPr>
      <w:r>
        <w:t>(a) Oral steroids long-term</w:t>
      </w:r>
    </w:p>
    <w:p>
      <w:pPr>
        <w:spacing w:after="200" w:line="276" w:lineRule="auto"/>
      </w:pPr>
      <w:r>
        <w:t>(b) Increased ICS or ICS-LABA combination</w:t>
      </w:r>
    </w:p>
    <w:p>
      <w:pPr>
        <w:spacing w:after="200" w:line="276" w:lineRule="auto"/>
      </w:pPr>
      <w:r>
        <w:t>(c) Only relievers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Increased ICS or ICS-LABA combination</w:t>
      </w:r>
    </w:p>
    <w:p>
      <w:pPr>
        <w:spacing w:after="200" w:line="276" w:lineRule="auto"/>
      </w:pPr>
      <w:r>
        <w:t>🧠 Clinical Rationale: Step-up therapy controls symptoms; step down once stable for 3 months.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Asthma - Step Therapy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Increased ICS or ICS-LABA combination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steroids long-term — correct in another context, but not for this patient/drug link</w:t>
      </w:r>
    </w:p>
    <w:p>
      <w:pPr>
        <w:spacing w:after="200" w:line="276" w:lineRule="auto"/>
      </w:pPr>
      <w:r>
        <w:t>C. Only relievers — correct in another context, but not for this patient/drug link</w:t>
      </w:r>
    </w:p>
    <w:p>
      <w:pPr>
        <w:spacing w:after="200" w:line="276" w:lineRule="auto"/>
      </w:pPr>
      <w:r>
        <w:t>D. Antibiotics — correct in another context, but not for this patient/drug link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Obstructive sleep apnoea is first-line treated with</w:t>
      </w:r>
    </w:p>
    <w:p>
      <w:pPr>
        <w:spacing w:after="200" w:line="276" w:lineRule="auto"/>
      </w:pPr>
      <w:r>
        <w:t>(a) Oxygen at 15 L/min</w:t>
      </w:r>
    </w:p>
    <w:p>
      <w:pPr>
        <w:spacing w:after="200" w:line="276" w:lineRule="auto"/>
      </w:pPr>
      <w:r>
        <w:t>(b) Sedatives</w:t>
      </w:r>
    </w:p>
    <w:p>
      <w:pPr>
        <w:spacing w:after="200" w:line="276" w:lineRule="auto"/>
      </w:pPr>
      <w:r>
        <w:t>(c) Continuous positive airway pressure (CPAP)</w:t>
      </w:r>
    </w:p>
    <w:p>
      <w:pPr>
        <w:spacing w:after="200" w:line="276" w:lineRule="auto"/>
      </w:pPr>
      <w:r>
        <w:t>(d) Chest physiotherapy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Continuous positive airway pressure (CPAP)</w:t>
      </w:r>
    </w:p>
    <w:p>
      <w:pPr>
        <w:spacing w:after="200" w:line="276" w:lineRule="auto"/>
      </w:pPr>
      <w:r>
        <w:t>🧠 Clinical Rationale: CPAP stents the airway open during sleep; weight loss and positional therapy are adjuncts.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OSA - CPAP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Continuous positive airway pressure (CPAP)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Oxygen at 15 L/min — correct in another context, but not for this patient/drug link</w:t>
      </w:r>
    </w:p>
    <w:p>
      <w:pPr>
        <w:spacing w:after="200" w:line="276" w:lineRule="auto"/>
      </w:pPr>
      <w:r>
        <w:t>B. Sedatives — correct in another context, but not for this patient/drug link</w:t>
      </w:r>
    </w:p>
    <w:p>
      <w:pPr>
        <w:spacing w:after="200" w:line="276" w:lineRule="auto"/>
      </w:pPr>
      <w:r>
        <w:t>D. Chest physiotherapy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Oseltamivir is most effective for influenza when started</w:t>
      </w:r>
    </w:p>
    <w:p>
      <w:pPr>
        <w:spacing w:after="200" w:line="276" w:lineRule="auto"/>
      </w:pPr>
      <w:r>
        <w:t>(a) After a week</w:t>
      </w:r>
    </w:p>
    <w:p>
      <w:pPr>
        <w:spacing w:after="200" w:line="276" w:lineRule="auto"/>
      </w:pPr>
      <w:r>
        <w:t>(b) Only for prevention</w:t>
      </w:r>
    </w:p>
    <w:p>
      <w:pPr>
        <w:spacing w:after="200" w:line="276" w:lineRule="auto"/>
      </w:pPr>
      <w:r>
        <w:t>(c) Within 48 hours of symptom onset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Within 48 hours of symptom onset</w:t>
      </w:r>
    </w:p>
    <w:p>
      <w:pPr>
        <w:spacing w:after="200" w:line="276" w:lineRule="auto"/>
      </w:pPr>
      <w:r>
        <w:t>🧠 Clinical Rationale: Early oseltamivir reduces duration and complications; give empirically in high-risk patients.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Influenza - Antiviral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Within 48 hours of symptom onset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a week — correct in another context, but not for this patient/drug link</w:t>
      </w:r>
    </w:p>
    <w:p>
      <w:pPr>
        <w:spacing w:after="200" w:line="276" w:lineRule="auto"/>
      </w:pPr>
      <w:r>
        <w:t>B. Only for prevention — correct in another context, but not for this patient/drug link</w:t>
      </w:r>
    </w:p>
    <w:p>
      <w:pPr>
        <w:spacing w:after="200" w:line="276" w:lineRule="auto"/>
      </w:pPr>
      <w:r>
        <w:t>D. Never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DKA, the IV insulin infusion should NOT be stopped until</w:t>
      </w:r>
    </w:p>
    <w:p>
      <w:pPr>
        <w:spacing w:after="200" w:line="276" w:lineRule="auto"/>
      </w:pPr>
      <w:r>
        <w:t>(a) Glucose reaches 100 mg/dL</w:t>
      </w:r>
    </w:p>
    <w:p>
      <w:pPr>
        <w:spacing w:after="200" w:line="276" w:lineRule="auto"/>
      </w:pPr>
      <w:r>
        <w:t>(b) Bicarbonate normalises, anion gap closes and patient can eat (with SC transition)</w:t>
      </w:r>
    </w:p>
    <w:p>
      <w:pPr>
        <w:spacing w:after="200" w:line="276" w:lineRule="auto"/>
      </w:pPr>
      <w:r>
        <w:t>(c) Urine ketones clear alone</w:t>
      </w:r>
    </w:p>
    <w:p>
      <w:pPr>
        <w:spacing w:after="200" w:line="276" w:lineRule="auto"/>
      </w:pPr>
      <w:r>
        <w:t>(d) The first hour ends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Bicarbonate normalises, anion gap closes and patient can eat (with SC transition)</w:t>
      </w:r>
    </w:p>
    <w:p>
      <w:pPr>
        <w:spacing w:after="200" w:line="276" w:lineRule="auto"/>
      </w:pPr>
      <w:r>
        <w:t>🧠 Clinical Rationale: Continue insulin until ketoacidosis resolves; add dextrose when glucose ~250 mg/dL and transition to SC insulin.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DKA - Insulin Dosing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Bicarbonate normalises, anion gap closes and patient can eat (with SC transition)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Glucose reaches 100 mg/dL — correct in another context, but not for this patient/drug link</w:t>
      </w:r>
    </w:p>
    <w:p>
      <w:pPr>
        <w:spacing w:after="200" w:line="276" w:lineRule="auto"/>
      </w:pPr>
      <w:r>
        <w:t>C. Urine ketones clear alone — correct in another context, but not for this patient/drug link</w:t>
      </w:r>
    </w:p>
    <w:p>
      <w:pPr>
        <w:spacing w:after="200" w:line="276" w:lineRule="auto"/>
      </w:pPr>
      <w:r>
        <w:t>D. The first hour ends — correct in another context, but not for this patient/drug link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DKA, potassium is repleted because insulin therapy</w:t>
      </w:r>
    </w:p>
    <w:p>
      <w:pPr>
        <w:spacing w:after="200" w:line="276" w:lineRule="auto"/>
      </w:pPr>
      <w:r>
        <w:t>(a) Raises potassium</w:t>
      </w:r>
    </w:p>
    <w:p>
      <w:pPr>
        <w:spacing w:after="200" w:line="276" w:lineRule="auto"/>
      </w:pPr>
      <w:r>
        <w:t>(b) Has no effect</w:t>
      </w:r>
    </w:p>
    <w:p>
      <w:pPr>
        <w:spacing w:after="200" w:line="276" w:lineRule="auto"/>
      </w:pPr>
      <w:r>
        <w:t>(c) Blocks the kidneys</w:t>
      </w:r>
    </w:p>
    <w:p>
      <w:pPr>
        <w:spacing w:after="200" w:line="276" w:lineRule="auto"/>
      </w:pPr>
      <w:r>
        <w:t>(d) Shifts potassium into cells, causing dangerous hypokalaemia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Shifts potassium into cells, causing dangerous hypokalaemia</w:t>
      </w:r>
    </w:p>
    <w:p>
      <w:pPr>
        <w:spacing w:after="200" w:line="276" w:lineRule="auto"/>
      </w:pPr>
      <w:r>
        <w:t>🧠 Clinical Rationale: Insulin drives K+ intracellularly — monitor K+ hourly and replace; never start insulin if K+ &lt;3.3 mEq/L.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DKA - Potassium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Shifts potassium into cells, causing dangerous hypokalaemia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Raises potassium — correct in another context, but not for this patient/drug link</w:t>
      </w:r>
    </w:p>
    <w:p>
      <w:pPr>
        <w:spacing w:after="200" w:line="276" w:lineRule="auto"/>
      </w:pPr>
      <w:r>
        <w:t>B. Has no effect — correct in another context, but not for this patient/drug link</w:t>
      </w:r>
    </w:p>
    <w:p>
      <w:pPr>
        <w:spacing w:after="200" w:line="276" w:lineRule="auto"/>
      </w:pPr>
      <w:r>
        <w:t>C. Blocks the kidneys — correct in another context, but not for this patient/drug link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Thyroid storm is treated with</w:t>
      </w:r>
    </w:p>
    <w:p>
      <w:pPr>
        <w:spacing w:after="200" w:line="276" w:lineRule="auto"/>
      </w:pPr>
      <w:r>
        <w:t>(a) Only iodine</w:t>
      </w:r>
    </w:p>
    <w:p>
      <w:pPr>
        <w:spacing w:after="200" w:line="276" w:lineRule="auto"/>
      </w:pPr>
      <w:r>
        <w:t>(b) Propylthiouracil/ carbimazole, beta-blockers, steroids and iodine (after PTU)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Propylthiouracil/ carbimazole, beta-blockers, steroids and iodine (after PTU)</w:t>
      </w:r>
    </w:p>
    <w:p>
      <w:pPr>
        <w:spacing w:after="200" w:line="276" w:lineRule="auto"/>
      </w:pPr>
      <w:r>
        <w:t>🧠 Clinical Rationale: Block synthesis (thionamides), block release (iodine after), block effects (beta-blockers, steroids).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Thyroid Storm - Drugs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Propylthiouracil/ carbimazole, beta-blockers, steroids and iodine (after PTU)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iodine — correct in another context, but not for this patient/drug link</w:t>
      </w:r>
    </w:p>
    <w:p>
      <w:pPr>
        <w:spacing w:after="200" w:line="276" w:lineRule="auto"/>
      </w:pPr>
      <w:r>
        <w:t>C. Insulin — correct in another context, but not for this patient/drug link</w:t>
      </w:r>
    </w:p>
    <w:p>
      <w:pPr>
        <w:spacing w:after="200" w:line="276" w:lineRule="auto"/>
      </w:pPr>
      <w:r>
        <w:t>D. Diuretics — correct in another context, but not for this patient/drug link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Metformin is held in which situation to prevent lactic acidosis?</w:t>
      </w:r>
    </w:p>
    <w:p>
      <w:pPr>
        <w:spacing w:after="200" w:line="276" w:lineRule="auto"/>
      </w:pPr>
      <w:r>
        <w:t>(a) Contrast study, AKI, hypoxia or severe illness</w:t>
      </w:r>
    </w:p>
    <w:p>
      <w:pPr>
        <w:spacing w:after="200" w:line="276" w:lineRule="auto"/>
      </w:pPr>
      <w:r>
        <w:t>(b) Mild hyperglycaemia</w:t>
      </w:r>
    </w:p>
    <w:p>
      <w:pPr>
        <w:spacing w:after="200" w:line="276" w:lineRule="auto"/>
      </w:pPr>
      <w:r>
        <w:t>(c) Stable CKD stage 1</w:t>
      </w:r>
    </w:p>
    <w:p>
      <w:pPr>
        <w:spacing w:after="200" w:line="276" w:lineRule="auto"/>
      </w:pPr>
      <w:r>
        <w:t>(d) During meals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Contrast study, AKI, hypoxia or severe illness</w:t>
      </w:r>
    </w:p>
    <w:p>
      <w:pPr>
        <w:spacing w:after="200" w:line="276" w:lineRule="auto"/>
      </w:pPr>
      <w:r>
        <w:t>🧠 Clinical Rationale: Hold metformin around contrast, renal impairment, and critical illness — restart when stable.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Metformin - Lactic Acidosis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Contrast study, AKI, hypoxia or severe illness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hyperglycaemia — correct in another context, but not for this patient/drug link</w:t>
      </w:r>
    </w:p>
    <w:p>
      <w:pPr>
        <w:spacing w:after="200" w:line="276" w:lineRule="auto"/>
      </w:pPr>
      <w:r>
        <w:t>C. Stable CKD stage 1 — correct in another context, but not for this patient/drug link</w:t>
      </w:r>
    </w:p>
    <w:p>
      <w:pPr>
        <w:spacing w:after="200" w:line="276" w:lineRule="auto"/>
      </w:pPr>
      <w:r>
        <w:t>D. During meals — correct in another context, but not for this patient/drug link</w:t>
      </w:r>
    </w:p>
    <w:p>
      <w:pPr>
        <w:spacing w:after="200" w:line="276" w:lineRule="auto"/>
      </w:pPr>
      <w:r>
        <w:t>⚠️ Exam Trap: Metformin is held around contrast studies and in renal failure (lactic acidosis risk) — a frequent exam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Metformin can cause lactic acidosis — hold it before IV contrast and in renal/hepatic impairment.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Metformin</w:t>
      </w:r>
    </w:p>
    <w:p>
      <w:pPr>
        <w:spacing w:after="200" w:line="276" w:lineRule="auto"/>
      </w:pPr>
      <w:r>
        <w:t>→ Adverse effect: lactic acidosis, GI upset (take with food)</w:t>
      </w:r>
    </w:p>
    <w:p>
      <w:pPr>
        <w:spacing w:after="200" w:line="276" w:lineRule="auto"/>
      </w:pPr>
      <w:r>
        <w:t>→ Hold: before IV contrast, renal/hepatic disease, hypoxia/sepsis</w:t>
      </w:r>
    </w:p>
    <w:p>
      <w:pPr>
        <w:spacing w:after="200" w:line="276" w:lineRule="auto"/>
      </w:pPr>
      <w:r>
        <w:t>→ Monitor: renal function, B12 with long-term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Levothyroxine is best taken</w:t>
      </w:r>
    </w:p>
    <w:p>
      <w:pPr>
        <w:spacing w:after="200" w:line="276" w:lineRule="auto"/>
      </w:pPr>
      <w:r>
        <w:t>(a) With meals</w:t>
      </w:r>
    </w:p>
    <w:p>
      <w:pPr>
        <w:spacing w:after="200" w:line="276" w:lineRule="auto"/>
      </w:pPr>
      <w:r>
        <w:t>(b) On an empty stomach 30-60 min before breakfast, away from iron/calcium</w:t>
      </w:r>
    </w:p>
    <w:p>
      <w:pPr>
        <w:spacing w:after="200" w:line="276" w:lineRule="auto"/>
      </w:pPr>
      <w:r>
        <w:t>(c) At bedtime with milk</w:t>
      </w:r>
    </w:p>
    <w:p>
      <w:pPr>
        <w:spacing w:after="200" w:line="276" w:lineRule="auto"/>
      </w:pPr>
      <w:r>
        <w:t>(d) With antacids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On an empty stomach 30-60 min before breakfast, away from iron/calcium</w:t>
      </w:r>
    </w:p>
    <w:p>
      <w:pPr>
        <w:spacing w:after="200" w:line="276" w:lineRule="auto"/>
      </w:pPr>
      <w:r>
        <w:t>🧠 Clinical Rationale: Food, calcium, iron and PPIs reduce thyroxine absorption — take fasting for consistent levels.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Hypothyroidism - Levothyroxine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On an empty stomach 30-60 min before breakfast, away from iron/calcium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With meals — correct in another context, but not for this patient/drug link</w:t>
      </w:r>
    </w:p>
    <w:p>
      <w:pPr>
        <w:spacing w:after="200" w:line="276" w:lineRule="auto"/>
      </w:pPr>
      <w:r>
        <w:t>C. At bedtime with milk — correct in another context, but not for this patient/drug link</w:t>
      </w:r>
    </w:p>
    <w:p>
      <w:pPr>
        <w:spacing w:after="200" w:line="276" w:lineRule="auto"/>
      </w:pPr>
      <w:r>
        <w:t>D. With antacids — correct in another context, but not for this patient/drug link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adverse effect of SGLT2 inhibitors (empagliflozin) is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Euglycaemic diabetic ketoacidosis and genital mycotic infections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Euglycaemic diabetic ketoacidosis and genital mycotic infections</w:t>
      </w:r>
    </w:p>
    <w:p>
      <w:pPr>
        <w:spacing w:after="200" w:line="276" w:lineRule="auto"/>
      </w:pPr>
      <w:r>
        <w:t>🧠 Clinical Rationale: SGLT2 inhibitors cause DKA with normal glucose, UTI/genital infections and volume depletion.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SGLT2 Inhibitor - Side Effect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Euglycaemic diabetic ketoacidosis and genital mycotic infections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correct in another context, but not for this patient/drug link</w:t>
      </w:r>
    </w:p>
    <w:p>
      <w:pPr>
        <w:spacing w:after="200" w:line="276" w:lineRule="auto"/>
      </w:pPr>
      <w:r>
        <w:t>B. Hyperglycaemia — correct in another context, but not for this patient/drug link</w:t>
      </w:r>
    </w:p>
    <w:p>
      <w:pPr>
        <w:spacing w:after="200" w:line="276" w:lineRule="auto"/>
      </w:pPr>
      <w:r>
        <w:t>C. Bradycardia — correct in another context, but not for this patient/drug link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adrenal crisis, hydrocortisone is given</w:t>
      </w:r>
    </w:p>
    <w:p>
      <w:pPr>
        <w:spacing w:after="200" w:line="276" w:lineRule="auto"/>
      </w:pPr>
      <w:r>
        <w:t>(a) Orally only</w:t>
      </w:r>
    </w:p>
    <w:p>
      <w:pPr>
        <w:spacing w:after="200" w:line="276" w:lineRule="auto"/>
      </w:pPr>
      <w:r>
        <w:t>(b) Once weekly</w:t>
      </w:r>
    </w:p>
    <w:p>
      <w:pPr>
        <w:spacing w:after="200" w:line="276" w:lineRule="auto"/>
      </w:pPr>
      <w:r>
        <w:t>(c) Topically</w:t>
      </w:r>
    </w:p>
    <w:p>
      <w:pPr>
        <w:spacing w:after="200" w:line="276" w:lineRule="auto"/>
      </w:pPr>
      <w:r>
        <w:t>(d) IV bolus (100 mg) then continuous infusion with saline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bolus (100 mg) then continuous infusion with saline</w:t>
      </w:r>
    </w:p>
    <w:p>
      <w:pPr>
        <w:spacing w:after="200" w:line="276" w:lineRule="auto"/>
      </w:pPr>
      <w:r>
        <w:t>🧠 Clinical Rationale: Immediate IV hydrocortisone + saline reverses crisis; treat the precipitant.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Adrenal Crisis - Steroid Dosing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bolus (100 mg) then continuous infusion with saline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Orally only — correct in another context, but not for this patient/drug link</w:t>
      </w:r>
    </w:p>
    <w:p>
      <w:pPr>
        <w:spacing w:after="200" w:line="276" w:lineRule="auto"/>
      </w:pPr>
      <w:r>
        <w:t>B. Once weekly — correct in another context, but not for this patient/drug link</w:t>
      </w:r>
    </w:p>
    <w:p>
      <w:pPr>
        <w:spacing w:after="200" w:line="276" w:lineRule="auto"/>
      </w:pPr>
      <w:r>
        <w:t>C. Topically — correct in another context, but not for this patient/drug link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Oral bisphosphonates (alendronate) must be taken</w:t>
      </w:r>
    </w:p>
    <w:p>
      <w:pPr>
        <w:spacing w:after="200" w:line="276" w:lineRule="auto"/>
      </w:pPr>
      <w:r>
        <w:t>(a) With milk</w:t>
      </w:r>
    </w:p>
    <w:p>
      <w:pPr>
        <w:spacing w:after="200" w:line="276" w:lineRule="auto"/>
      </w:pPr>
      <w:r>
        <w:t>(b) With antacids</w:t>
      </w:r>
    </w:p>
    <w:p>
      <w:pPr>
        <w:spacing w:after="200" w:line="276" w:lineRule="auto"/>
      </w:pPr>
      <w:r>
        <w:t>(c) With a full glass of water, fasting, and remain upright 30 min</w:t>
      </w:r>
    </w:p>
    <w:p>
      <w:pPr>
        <w:spacing w:after="200" w:line="276" w:lineRule="auto"/>
      </w:pPr>
      <w:r>
        <w:t>(d) Lying down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With a full glass of water, fasting, and remain upright 30 min</w:t>
      </w:r>
    </w:p>
    <w:p>
      <w:pPr>
        <w:spacing w:after="200" w:line="276" w:lineRule="auto"/>
      </w:pPr>
      <w:r>
        <w:t>🧠 Clinical Rationale: Upright fasting administration prevents oesophagitis and improves absorption.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Osteoporosis - Bisphosphonate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With a full glass of water, fasting, and remain upright 30 min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With milk — correct in another context, but not for this patient/drug link</w:t>
      </w:r>
    </w:p>
    <w:p>
      <w:pPr>
        <w:spacing w:after="200" w:line="276" w:lineRule="auto"/>
      </w:pPr>
      <w:r>
        <w:t>B. With antacids — correct in another context, but not for this patient/drug link</w:t>
      </w:r>
    </w:p>
    <w:p>
      <w:pPr>
        <w:spacing w:after="200" w:line="276" w:lineRule="auto"/>
      </w:pPr>
      <w:r>
        <w:t>D. Lying down — correct in another context, but not for this patient/drug link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Osteoporosis</w:t>
      </w:r>
    </w:p>
    <w:p>
      <w:pPr>
        <w:spacing w:after="200" w:line="276" w:lineRule="auto"/>
      </w:pPr>
      <w:r>
        <w:t>→ Risk: postmenopausal women, low calcium/vitamin D, smoking, steroids</w:t>
      </w:r>
    </w:p>
    <w:p>
      <w:pPr>
        <w:spacing w:after="200" w:line="276" w:lineRule="auto"/>
      </w:pPr>
      <w:r>
        <w:t>→ Prevention: calcium 1000–1200 mg, vitamin D, weight-bearing exercise</w:t>
      </w:r>
    </w:p>
    <w:p>
      <w:pPr>
        <w:spacing w:after="200" w:line="276" w:lineRule="auto"/>
      </w:pPr>
      <w:r>
        <w:t>→ Screen: DEXA scan; treat with bisphosphonates</w:t>
      </w:r>
    </w:p>
    <w:p>
      <w:pPr>
        <w:spacing w:after="200" w:line="276" w:lineRule="auto"/>
      </w:pPr>
      <w:r>
        <w:t>→ Safety: fall prevention, hip protectors, home safety review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alteplase for ischaemic stroke is CONTRAINDICATED if</w:t>
      </w:r>
    </w:p>
    <w:p>
      <w:pPr>
        <w:spacing w:after="200" w:line="276" w:lineRule="auto"/>
      </w:pPr>
      <w:r>
        <w:t>(a) BP 140/90</w:t>
      </w:r>
    </w:p>
    <w:p>
      <w:pPr>
        <w:spacing w:after="200" w:line="276" w:lineRule="auto"/>
      </w:pPr>
      <w:r>
        <w:t>(b) Minor deficit improving</w:t>
      </w:r>
    </w:p>
    <w:p>
      <w:pPr>
        <w:spacing w:after="200" w:line="276" w:lineRule="auto"/>
      </w:pPr>
      <w:r>
        <w:t>(c) Symptom onset &gt;4.5 hours or INR &gt;1.7</w:t>
      </w:r>
    </w:p>
    <w:p>
      <w:pPr>
        <w:spacing w:after="200" w:line="276" w:lineRule="auto"/>
      </w:pPr>
      <w:r>
        <w:t>(d) Old age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Symptom onset &gt;4.5 hours or INR &gt;1.7</w:t>
      </w:r>
    </w:p>
    <w:p>
      <w:pPr>
        <w:spacing w:after="200" w:line="276" w:lineRule="auto"/>
      </w:pPr>
      <w:r>
        <w:t>🧠 Clinical Rationale: Time window, anticoagulation and bleeding risk govern thrombolysis eligibility.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Stroke - Alteplase Contraindication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Symptom onset &gt;4.5 hours or INR &gt;1.7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BP 140/90 — correct in another context, but not for this patient/drug link</w:t>
      </w:r>
    </w:p>
    <w:p>
      <w:pPr>
        <w:spacing w:after="200" w:line="276" w:lineRule="auto"/>
      </w:pPr>
      <w:r>
        <w:t>B. Minor deficit improving — correct in another context, but not for this patient/drug link</w:t>
      </w:r>
    </w:p>
    <w:p>
      <w:pPr>
        <w:spacing w:after="200" w:line="276" w:lineRule="auto"/>
      </w:pPr>
      <w:r>
        <w:t>D. Old age — correct in another context, but not for this patient/drug link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Taking levodopa with a high-protein meal can</w:t>
      </w:r>
    </w:p>
    <w:p>
      <w:pPr>
        <w:spacing w:after="200" w:line="276" w:lineRule="auto"/>
      </w:pPr>
      <w:r>
        <w:t>(a) Reduce its absorption and effectiveness (compete for transport)</w:t>
      </w:r>
    </w:p>
    <w:p>
      <w:pPr>
        <w:spacing w:after="200" w:line="276" w:lineRule="auto"/>
      </w:pPr>
      <w:r>
        <w:t>(b) Improve effect</w:t>
      </w:r>
    </w:p>
    <w:p>
      <w:pPr>
        <w:spacing w:after="200" w:line="276" w:lineRule="auto"/>
      </w:pPr>
      <w:r>
        <w:t>(c) Cause toxicity</w:t>
      </w:r>
    </w:p>
    <w:p>
      <w:pPr>
        <w:spacing w:after="200" w:line="276" w:lineRule="auto"/>
      </w:pPr>
      <w:r>
        <w:t>(d) Have no effect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 its absorption and effectiveness (compete for transport)</w:t>
      </w:r>
    </w:p>
    <w:p>
      <w:pPr>
        <w:spacing w:after="200" w:line="276" w:lineRule="auto"/>
      </w:pPr>
      <w:r>
        <w:t>🧠 Clinical Rationale: Amino acids compete with levodopa — take away from protein meals.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Parkinson - Levodopa Interactions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Reduce its absorption and effectiveness (compete for transport)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Improve effect — correct in another context, but not for this patient/drug link</w:t>
      </w:r>
    </w:p>
    <w:p>
      <w:pPr>
        <w:spacing w:after="200" w:line="276" w:lineRule="auto"/>
      </w:pPr>
      <w:r>
        <w:t>C. Cause toxicity — correct in another context, but not for this patient/drug link</w:t>
      </w:r>
    </w:p>
    <w:p>
      <w:pPr>
        <w:spacing w:after="200" w:line="276" w:lineRule="auto"/>
      </w:pPr>
      <w:r>
        <w:t>D. Have no effect — correct in another context, but not for this patient/drug link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Sodium valproate is contraindicated in</w:t>
      </w:r>
    </w:p>
    <w:p>
      <w:pPr>
        <w:spacing w:after="200" w:line="276" w:lineRule="auto"/>
      </w:pPr>
      <w:r>
        <w:t>(a) Pregnancy (teratogenic) and hepatic disease</w:t>
      </w:r>
    </w:p>
    <w:p>
      <w:pPr>
        <w:spacing w:after="200" w:line="276" w:lineRule="auto"/>
      </w:pPr>
      <w:r>
        <w:t>(b) Generalised seizures</w:t>
      </w:r>
    </w:p>
    <w:p>
      <w:pPr>
        <w:spacing w:after="200" w:line="276" w:lineRule="auto"/>
      </w:pPr>
      <w:r>
        <w:t>(c) Bipolar disorder</w:t>
      </w:r>
    </w:p>
    <w:p>
      <w:pPr>
        <w:spacing w:after="200" w:line="276" w:lineRule="auto"/>
      </w:pPr>
      <w:r>
        <w:t>(d) Migraine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Pregnancy (teratogenic) and hepatic disease</w:t>
      </w:r>
    </w:p>
    <w:p>
      <w:pPr>
        <w:spacing w:after="200" w:line="276" w:lineRule="auto"/>
      </w:pPr>
      <w:r>
        <w:t>🧠 Clinical Rationale: Valproate causes neural-tube defects and hepatotoxicity — avoid in pregnancy and liver disease.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Epilepsy - Valproate Contraindication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Pregnancy (teratogenic) and hepatic disease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Generalised seizures — correct in another context, but not for this patient/drug link</w:t>
      </w:r>
    </w:p>
    <w:p>
      <w:pPr>
        <w:spacing w:after="200" w:line="276" w:lineRule="auto"/>
      </w:pPr>
      <w:r>
        <w:t>C. Bipolar disorder — correct in another context, but not for this patient/drug link</w:t>
      </w:r>
    </w:p>
    <w:p>
      <w:pPr>
        <w:spacing w:after="200" w:line="276" w:lineRule="auto"/>
      </w:pPr>
      <w:r>
        <w:t>D. Migraine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drug can worsen myasthenia gravis?</w:t>
      </w:r>
    </w:p>
    <w:p>
      <w:pPr>
        <w:spacing w:after="200" w:line="276" w:lineRule="auto"/>
      </w:pPr>
      <w:r>
        <w:t>(a) Pyridostigmine</w:t>
      </w:r>
    </w:p>
    <w:p>
      <w:pPr>
        <w:spacing w:after="200" w:line="276" w:lineRule="auto"/>
      </w:pPr>
      <w:r>
        <w:t>(b) Prednisolone in stable use</w:t>
      </w:r>
    </w:p>
    <w:p>
      <w:pPr>
        <w:spacing w:after="200" w:line="276" w:lineRule="auto"/>
      </w:pPr>
      <w:r>
        <w:t>(c) Aminoglycosides and beta-blockers</w:t>
      </w:r>
    </w:p>
    <w:p>
      <w:pPr>
        <w:spacing w:after="200" w:line="276" w:lineRule="auto"/>
      </w:pPr>
      <w:r>
        <w:t>(d) Azathioprine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Aminoglycosides and beta-blockers</w:t>
      </w:r>
    </w:p>
    <w:p>
      <w:pPr>
        <w:spacing w:after="200" w:line="276" w:lineRule="auto"/>
      </w:pPr>
      <w:r>
        <w:t>🧠 Clinical Rationale: Aminoglycosides impair neuromuscular transmission — avoid or use cautiously.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Myasthenia - Drug Precipitant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Aminoglycosides and beta-blockers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Pyridostigmine — correct in another context, but not for this patient/drug link</w:t>
      </w:r>
    </w:p>
    <w:p>
      <w:pPr>
        <w:spacing w:after="200" w:line="276" w:lineRule="auto"/>
      </w:pPr>
      <w:r>
        <w:t>B. Prednisolone in stable use — correct in another context, but not for this patient/drug link</w:t>
      </w:r>
    </w:p>
    <w:p>
      <w:pPr>
        <w:spacing w:after="200" w:line="276" w:lineRule="auto"/>
      </w:pPr>
      <w:r>
        <w:t>D. Azathioprine — correct in another context, but not for this patient/drug link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Benztropine is used in Parkinson's mainly for</w:t>
      </w:r>
    </w:p>
    <w:p>
      <w:pPr>
        <w:spacing w:after="200" w:line="276" w:lineRule="auto"/>
      </w:pPr>
      <w:r>
        <w:t>(a) Tremor control (anticholinergic effect)</w:t>
      </w:r>
    </w:p>
    <w:p>
      <w:pPr>
        <w:spacing w:after="200" w:line="276" w:lineRule="auto"/>
      </w:pPr>
      <w:r>
        <w:t>(b) Rigidity only</w:t>
      </w:r>
    </w:p>
    <w:p>
      <w:pPr>
        <w:spacing w:after="200" w:line="276" w:lineRule="auto"/>
      </w:pPr>
      <w:r>
        <w:t>(c) Freezing</w:t>
      </w:r>
    </w:p>
    <w:p>
      <w:pPr>
        <w:spacing w:after="200" w:line="276" w:lineRule="auto"/>
      </w:pPr>
      <w:r>
        <w:t>(d) Psychosis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Tremor control (anticholinergic effect)</w:t>
      </w:r>
    </w:p>
    <w:p>
      <w:pPr>
        <w:spacing w:after="200" w:line="276" w:lineRule="auto"/>
      </w:pPr>
      <w:r>
        <w:t>🧠 Clinical Rationale: Anticholinergics help tremor; avoid in elderly (confusion, retention, dry mouth).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Parkinson - Anticholinergic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Tremor control (anticholinergic effect)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Rigidity only — correct in another context, but not for this patient/drug link</w:t>
      </w:r>
    </w:p>
    <w:p>
      <w:pPr>
        <w:spacing w:after="200" w:line="276" w:lineRule="auto"/>
      </w:pPr>
      <w:r>
        <w:t>C. Freezing — correct in another context, but not for this patient/drug link</w:t>
      </w:r>
    </w:p>
    <w:p>
      <w:pPr>
        <w:spacing w:after="200" w:line="276" w:lineRule="auto"/>
      </w:pPr>
      <w:r>
        <w:t>D. Psychosis — correct in another context, but not for this patient/drug link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Therapeutic monitoring is important for phenytoin because it</w:t>
      </w:r>
    </w:p>
    <w:p>
      <w:pPr>
        <w:spacing w:after="200" w:line="276" w:lineRule="auto"/>
      </w:pPr>
      <w:r>
        <w:t>(a) Has a narrow therapeutic window with nonlinear kinetics</w:t>
      </w:r>
    </w:p>
    <w:p>
      <w:pPr>
        <w:spacing w:after="200" w:line="276" w:lineRule="auto"/>
      </w:pPr>
      <w:r>
        <w:t>(b) Is safe at any level</w:t>
      </w:r>
    </w:p>
    <w:p>
      <w:pPr>
        <w:spacing w:after="200" w:line="276" w:lineRule="auto"/>
      </w:pPr>
      <w:r>
        <w:t>(c) Never accumulates</w:t>
      </w:r>
    </w:p>
    <w:p>
      <w:pPr>
        <w:spacing w:after="200" w:line="276" w:lineRule="auto"/>
      </w:pPr>
      <w:r>
        <w:t>(d) Only causes GI upset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Has a narrow therapeutic window with nonlinear kinetics</w:t>
      </w:r>
    </w:p>
    <w:p>
      <w:pPr>
        <w:spacing w:after="200" w:line="276" w:lineRule="auto"/>
      </w:pPr>
      <w:r>
        <w:t>🧠 Clinical Rationale: Small dose changes cause large level swings — monitor levels (10-20 mcg/mL) and toxicity.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Anticonvulsant - Therapeutic Levels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Has a narrow therapeutic window with nonlinear kinetics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safe at any level — correct in another context, but not for this patient/drug link</w:t>
      </w:r>
    </w:p>
    <w:p>
      <w:pPr>
        <w:spacing w:after="200" w:line="276" w:lineRule="auto"/>
      </w:pPr>
      <w:r>
        <w:t>C. Never accumulates — correct in another context, but not for this patient/drug link</w:t>
      </w:r>
    </w:p>
    <w:p>
      <w:pPr>
        <w:spacing w:after="200" w:line="276" w:lineRule="auto"/>
      </w:pPr>
      <w:r>
        <w:t>D. Only causes GI upset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chemotherapy agent is a VESICANT causing severe tissue damage if extravasated?</w:t>
      </w:r>
    </w:p>
    <w:p>
      <w:pPr>
        <w:spacing w:after="200" w:line="276" w:lineRule="auto"/>
      </w:pPr>
      <w:r>
        <w:t>(a) Methotrexate</w:t>
      </w:r>
    </w:p>
    <w:p>
      <w:pPr>
        <w:spacing w:after="200" w:line="276" w:lineRule="auto"/>
      </w:pPr>
      <w:r>
        <w:t>(b) Cisplatin at low dose</w:t>
      </w:r>
    </w:p>
    <w:p>
      <w:pPr>
        <w:spacing w:after="200" w:line="276" w:lineRule="auto"/>
      </w:pPr>
      <w:r>
        <w:t>(c) Rituximab</w:t>
      </w:r>
    </w:p>
    <w:p>
      <w:pPr>
        <w:spacing w:after="200" w:line="276" w:lineRule="auto"/>
      </w:pPr>
      <w:r>
        <w:t>(d) Doxorubicin (anthracycline)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Doxorubicin (anthracycline)</w:t>
      </w:r>
    </w:p>
    <w:p>
      <w:pPr>
        <w:spacing w:after="200" w:line="276" w:lineRule="auto"/>
      </w:pPr>
      <w:r>
        <w:t>🧠 Clinical Rationale: Vesicants (doxorubicin, vincristine) cause necrosis — immediate stop, antidote (dexrazoxane/cold), plastic surgery.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Chemo - Extravasation Vesicant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Doxorubicin (anthracycline)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Methotrexate — correct in another context, but not for this patient/drug link</w:t>
      </w:r>
    </w:p>
    <w:p>
      <w:pPr>
        <w:spacing w:after="200" w:line="276" w:lineRule="auto"/>
      </w:pPr>
      <w:r>
        <w:t>B. Cisplatin at low dose — correct in another context, but not for this patient/drug link</w:t>
      </w:r>
    </w:p>
    <w:p>
      <w:pPr>
        <w:spacing w:after="200" w:line="276" w:lineRule="auto"/>
      </w:pPr>
      <w:r>
        <w:t>C. Rituximab — correct in another context, but not for this patient/drug link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neutrophil nadir after most chemotherapy occurs at approximately</w:t>
      </w:r>
    </w:p>
    <w:p>
      <w:pPr>
        <w:spacing w:after="200" w:line="276" w:lineRule="auto"/>
      </w:pPr>
      <w:r>
        <w:t>(a) 24 hours</w:t>
      </w:r>
    </w:p>
    <w:p>
      <w:pPr>
        <w:spacing w:after="200" w:line="276" w:lineRule="auto"/>
      </w:pPr>
      <w:r>
        <w:t>(b) 1 month</w:t>
      </w:r>
    </w:p>
    <w:p>
      <w:pPr>
        <w:spacing w:after="200" w:line="276" w:lineRule="auto"/>
      </w:pPr>
      <w:r>
        <w:t>(c) 6 months</w:t>
      </w:r>
    </w:p>
    <w:p>
      <w:pPr>
        <w:spacing w:after="200" w:line="276" w:lineRule="auto"/>
      </w:pPr>
      <w:r>
        <w:t>(d) 7-14 days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7-14 days</w:t>
      </w:r>
    </w:p>
    <w:p>
      <w:pPr>
        <w:spacing w:after="200" w:line="276" w:lineRule="auto"/>
      </w:pPr>
      <w:r>
        <w:t>🧠 Clinical Rationale: Bone marrow suppression peaks at 7-14 days — monitor counts and febrile neutropenia.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Chemo - Myelosuppression Nadir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7-14 days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hours — correct in another context, but not for this patient/drug link</w:t>
      </w:r>
    </w:p>
    <w:p>
      <w:pPr>
        <w:spacing w:after="200" w:line="276" w:lineRule="auto"/>
      </w:pPr>
      <w:r>
        <w:t>B. 1 month — correct in another context, but not for this patient/drug link</w:t>
      </w:r>
    </w:p>
    <w:p>
      <w:pPr>
        <w:spacing w:after="200" w:line="276" w:lineRule="auto"/>
      </w:pPr>
      <w:r>
        <w:t>C. 6 months — correct in another context, but not for this patient/drug link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chemotherapy patient with fever and neutrophils &lt;500/mm³ needs</w:t>
      </w:r>
    </w:p>
    <w:p>
      <w:pPr>
        <w:spacing w:after="200" w:line="276" w:lineRule="auto"/>
      </w:pPr>
      <w:r>
        <w:t>(a) Oral antipyretics only</w:t>
      </w:r>
    </w:p>
    <w:p>
      <w:pPr>
        <w:spacing w:after="200" w:line="276" w:lineRule="auto"/>
      </w:pPr>
      <w:r>
        <w:t>(b) Immediate broad-spectrum IV antibiotics (after cultures)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Blood transfusion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broad-spectrum IV antibiotics (after cultures)</w:t>
      </w:r>
    </w:p>
    <w:p>
      <w:pPr>
        <w:spacing w:after="200" w:line="276" w:lineRule="auto"/>
      </w:pPr>
      <w:r>
        <w:t>🧠 Clinical Rationale: Febrile neutropenia is an emergency — prompt empiric antibiotics reduce mortality.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Oncology - Febrile Neutropenia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Immediate broad-spectrum IV antibiotics (after cultures)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antipyretics only — correct in another context, but not for this patient/drug link</w:t>
      </w:r>
    </w:p>
    <w:p>
      <w:pPr>
        <w:spacing w:after="200" w:line="276" w:lineRule="auto"/>
      </w:pPr>
      <w:r>
        <w:t>C. Observation — correct in another context, but not for this patient/drug link</w:t>
      </w:r>
    </w:p>
    <w:p>
      <w:pPr>
        <w:spacing w:after="200" w:line="276" w:lineRule="auto"/>
      </w:pPr>
      <w:r>
        <w:t>D. Blood transfusion — correct in another context, but not for this patient/drug link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