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Breakthrough chemotherapy-induced vomiting is managed with</w:t>
      </w:r>
    </w:p>
    <w:p>
      <w:pPr>
        <w:spacing w:after="200" w:line="276" w:lineRule="auto"/>
      </w:pPr>
      <w:r>
        <w:t>(a) More chemotherapy</w:t>
      </w:r>
    </w:p>
    <w:p>
      <w:pPr>
        <w:spacing w:after="200" w:line="276" w:lineRule="auto"/>
      </w:pPr>
      <w:r>
        <w:t>(b) Laxatives</w:t>
      </w:r>
    </w:p>
    <w:p>
      <w:pPr>
        <w:spacing w:after="200" w:line="276" w:lineRule="auto"/>
      </w:pPr>
      <w:r>
        <w:t>(c) Rescue 5-HT3 antagonist, metoclopramide or olanzapine per protocol</w:t>
      </w:r>
    </w:p>
    <w:p>
      <w:pPr>
        <w:spacing w:after="200" w:line="276" w:lineRule="auto"/>
      </w:pPr>
      <w:r>
        <w:t>(d) Oral iron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Rescue 5-HT3 antagonist, metoclopramide or olanzapine per protocol</w:t>
      </w:r>
    </w:p>
    <w:p>
      <w:pPr>
        <w:spacing w:after="200" w:line="276" w:lineRule="auto"/>
      </w:pPr>
      <w:r>
        <w:t>🧠 Clinical Rationale: Rescue antiemetics treat breakthrough symptoms; adjust the next cycle's prophylaxis.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Vomiting — GI disturbance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CINV - Breakthrough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Rescue 5-HT3 antagonist, metoclopramide or olanzapine per protocol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chemotherapy — correct in another context, but not for this patient/drug link</w:t>
      </w:r>
    </w:p>
    <w:p>
      <w:pPr>
        <w:spacing w:after="200" w:line="276" w:lineRule="auto"/>
      </w:pPr>
      <w:r>
        <w:t>B. Laxatives — correct in another context, but not for this patient/drug link</w:t>
      </w:r>
    </w:p>
    <w:p>
      <w:pPr>
        <w:spacing w:after="200" w:line="276" w:lineRule="auto"/>
      </w:pPr>
      <w:r>
        <w:t>D. Oral iron — correct in another context, but not for this patient/drug link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Tumour lysis syndrome is prevented with</w:t>
      </w:r>
    </w:p>
    <w:p>
      <w:pPr>
        <w:spacing w:after="200" w:line="276" w:lineRule="auto"/>
      </w:pPr>
      <w:r>
        <w:t>(a) Diuretics routinely</w:t>
      </w:r>
    </w:p>
    <w:p>
      <w:pPr>
        <w:spacing w:after="200" w:line="276" w:lineRule="auto"/>
      </w:pPr>
      <w:r>
        <w:t>(b) Potassium supplements</w:t>
      </w:r>
    </w:p>
    <w:p>
      <w:pPr>
        <w:spacing w:after="200" w:line="276" w:lineRule="auto"/>
      </w:pPr>
      <w:r>
        <w:t>(c) Restricted fluids</w:t>
      </w:r>
    </w:p>
    <w:p>
      <w:pPr>
        <w:spacing w:after="200" w:line="276" w:lineRule="auto"/>
      </w:pPr>
      <w:r>
        <w:t>(d) Aggressive hydration, allopurinol/rasburicase and monitoring electrolytes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Aggressive hydration, allopurinol/rasburicase and monitoring electrolytes</w:t>
      </w:r>
    </w:p>
    <w:p>
      <w:pPr>
        <w:spacing w:after="200" w:line="276" w:lineRule="auto"/>
      </w:pPr>
      <w:r>
        <w:t>🧠 Clinical Rationale: Hydration + uric-acid lowering (allopurinol or rasburicase) prevent TLS; watch K+, PO4, Ca, urate.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Tumour Lysis -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Aggressive hydration, allopurinol/rasburicase and monitoring electrolytes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Diuretics routinely — correct in another context, but not for this patient/drug link</w:t>
      </w:r>
    </w:p>
    <w:p>
      <w:pPr>
        <w:spacing w:after="200" w:line="276" w:lineRule="auto"/>
      </w:pPr>
      <w:r>
        <w:t>B. Potassium supplements — correct in another context, but not for this patient/drug link</w:t>
      </w:r>
    </w:p>
    <w:p>
      <w:pPr>
        <w:spacing w:after="200" w:line="276" w:lineRule="auto"/>
      </w:pPr>
      <w:r>
        <w:t>C. Restricted fluids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converting between opioids, the nurse must</w:t>
      </w:r>
    </w:p>
    <w:p>
      <w:pPr>
        <w:spacing w:after="200" w:line="276" w:lineRule="auto"/>
      </w:pPr>
      <w:r>
        <w:t>(a) Double the dose blindly</w:t>
      </w:r>
    </w:p>
    <w:p>
      <w:pPr>
        <w:spacing w:after="200" w:line="276" w:lineRule="auto"/>
      </w:pPr>
      <w:r>
        <w:t>(b) Stop the old drug abruptly</w:t>
      </w:r>
    </w:p>
    <w:p>
      <w:pPr>
        <w:spacing w:after="200" w:line="276" w:lineRule="auto"/>
      </w:pPr>
      <w:r>
        <w:t>(c) Use equianalgesic tables, account for incomplete cross-tolerance and monitor sedation</w:t>
      </w:r>
    </w:p>
    <w:p>
      <w:pPr>
        <w:spacing w:after="200" w:line="276" w:lineRule="auto"/>
      </w:pPr>
      <w:r>
        <w:t>(d) Give both full doses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Use equianalgesic tables, account for incomplete cross-tolerance and monitor sedation</w:t>
      </w:r>
    </w:p>
    <w:p>
      <w:pPr>
        <w:spacing w:after="200" w:line="276" w:lineRule="auto"/>
      </w:pPr>
      <w:r>
        <w:t>🧠 Clinical Rationale: Safe conversion uses ratios, dose reduction and close monitoring for respiratory depression.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Palliative - Opioid Conversion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Use equianalgesic tables, account for incomplete cross-tolerance and monitor sedation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Double the dose blindly — correct in another context, but not for this patient/drug link</w:t>
      </w:r>
    </w:p>
    <w:p>
      <w:pPr>
        <w:spacing w:after="200" w:line="276" w:lineRule="auto"/>
      </w:pPr>
      <w:r>
        <w:t>B. Stop the old drug abruptly — correct in another context, but not for this patient/drug link</w:t>
      </w:r>
    </w:p>
    <w:p>
      <w:pPr>
        <w:spacing w:after="200" w:line="276" w:lineRule="auto"/>
      </w:pPr>
      <w:r>
        <w:t>D. Give both full doses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Mild cellulitis in an adult is treated with</w:t>
      </w:r>
    </w:p>
    <w:p>
      <w:pPr>
        <w:spacing w:after="200" w:line="276" w:lineRule="auto"/>
      </w:pPr>
      <w:r>
        <w:t>(a) Oral flucloxacillin or cephalexin (anti-staphylococcal)</w:t>
      </w:r>
    </w:p>
    <w:p>
      <w:pPr>
        <w:spacing w:after="200" w:line="276" w:lineRule="auto"/>
      </w:pPr>
      <w:r>
        <w:t>(b) Metronidazole</w:t>
      </w:r>
    </w:p>
    <w:p>
      <w:pPr>
        <w:spacing w:after="200" w:line="276" w:lineRule="auto"/>
      </w:pPr>
      <w:r>
        <w:t>(c) Acyclovir</w:t>
      </w:r>
    </w:p>
    <w:p>
      <w:pPr>
        <w:spacing w:after="200" w:line="276" w:lineRule="auto"/>
      </w:pPr>
      <w:r>
        <w:t>(d) Antifungals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Oral flucloxacillin or cephalexin (anti-staphylococcal)</w:t>
      </w:r>
    </w:p>
    <w:p>
      <w:pPr>
        <w:spacing w:after="200" w:line="276" w:lineRule="auto"/>
      </w:pPr>
      <w:r>
        <w:t>🧠 Clinical Rationale: Strep/Staph cover (flucloxacillin/cephalexin) treats cellulitis; MRSA risk alters choice.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Cellulitis - Antibiotic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Oral flucloxacillin or cephalexin (anti-staphylococcal)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Metronidazole — correct in another context, but not for this patient/drug link</w:t>
      </w:r>
    </w:p>
    <w:p>
      <w:pPr>
        <w:spacing w:after="200" w:line="276" w:lineRule="auto"/>
      </w:pPr>
      <w:r>
        <w:t>C. Acyclovir — correct in another context, but not for this patient/drug link</w:t>
      </w:r>
    </w:p>
    <w:p>
      <w:pPr>
        <w:spacing w:after="200" w:line="276" w:lineRule="auto"/>
      </w:pPr>
      <w:r>
        <w:t>D. Antifungals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acute gout flare is treated with</w:t>
      </w:r>
    </w:p>
    <w:p>
      <w:pPr>
        <w:spacing w:after="200" w:line="276" w:lineRule="auto"/>
      </w:pPr>
      <w:r>
        <w:t>(a) Allopurinol initiation during flare</w:t>
      </w:r>
    </w:p>
    <w:p>
      <w:pPr>
        <w:spacing w:after="200" w:line="276" w:lineRule="auto"/>
      </w:pPr>
      <w:r>
        <w:t>(b) Diuretics</w:t>
      </w:r>
    </w:p>
    <w:p>
      <w:pPr>
        <w:spacing w:after="200" w:line="276" w:lineRule="auto"/>
      </w:pPr>
      <w:r>
        <w:t>(c) Antibiotics</w:t>
      </w:r>
    </w:p>
    <w:p>
      <w:pPr>
        <w:spacing w:after="200" w:line="276" w:lineRule="auto"/>
      </w:pPr>
      <w:r>
        <w:t>(d) NSAIDs, colchicine or corticosteroids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NSAIDs, colchicine or corticosteroids</w:t>
      </w:r>
    </w:p>
    <w:p>
      <w:pPr>
        <w:spacing w:after="200" w:line="276" w:lineRule="auto"/>
      </w:pPr>
      <w:r>
        <w:t>🧠 Clinical Rationale: Treat acute flares with anti-inflammatories; start allopurinol only after the flare settles.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Gout - Acute Treatment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NSAIDs, colchicine or corticosteroids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Allopurinol initiation during flare — correct in another context, but not for this patient/drug link</w:t>
      </w:r>
    </w:p>
    <w:p>
      <w:pPr>
        <w:spacing w:after="200" w:line="276" w:lineRule="auto"/>
      </w:pPr>
      <w:r>
        <w:t>B. Diuretics — correct in another context, but not for this patient/drug link</w:t>
      </w:r>
    </w:p>
    <w:p>
      <w:pPr>
        <w:spacing w:after="200" w:line="276" w:lineRule="auto"/>
      </w:pPr>
      <w:r>
        <w:t>C. Antibiotics — correct in another context, but not for this patient/drug link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Corticosteroids</w:t>
      </w:r>
    </w:p>
    <w:p>
      <w:pPr>
        <w:spacing w:after="200" w:line="276" w:lineRule="auto"/>
      </w:pPr>
      <w:r>
        <w:t>→ Examples: prednisolone, dexamethasone, hydrocortisone</w:t>
      </w:r>
    </w:p>
    <w:p>
      <w:pPr>
        <w:spacing w:after="200" w:line="276" w:lineRule="auto"/>
      </w:pPr>
      <w:r>
        <w:t>→ Adverse: hyperglycaemia, fluid retention, osteoporosis, infection, poor healing</w:t>
      </w:r>
    </w:p>
    <w:p>
      <w:pPr>
        <w:spacing w:after="200" w:line="276" w:lineRule="auto"/>
      </w:pPr>
      <w:r>
        <w:t>→ Never stop abruptly — taper to avoid adrenal crisis</w:t>
      </w:r>
    </w:p>
    <w:p>
      <w:pPr>
        <w:spacing w:after="200" w:line="276" w:lineRule="auto"/>
      </w:pPr>
      <w:r>
        <w:t>→ Give with food; monitor glucose, BP, weight,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Chronic osteomyelitis requires</w:t>
      </w:r>
    </w:p>
    <w:p>
      <w:pPr>
        <w:spacing w:after="200" w:line="276" w:lineRule="auto"/>
      </w:pPr>
      <w:r>
        <w:t>(a) Oral antibiotics for 3 days</w:t>
      </w:r>
    </w:p>
    <w:p>
      <w:pPr>
        <w:spacing w:after="200" w:line="276" w:lineRule="auto"/>
      </w:pPr>
      <w:r>
        <w:t>(b) Prolonged IV antibiotics (4-6 weeks) plus surgical debridement</w:t>
      </w:r>
    </w:p>
    <w:p>
      <w:pPr>
        <w:spacing w:after="200" w:line="276" w:lineRule="auto"/>
      </w:pPr>
      <w:r>
        <w:t>(c) No treatment</w:t>
      </w:r>
    </w:p>
    <w:p>
      <w:pPr>
        <w:spacing w:after="200" w:line="276" w:lineRule="auto"/>
      </w:pPr>
      <w:r>
        <w:t>(d) Topical creams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Prolonged IV antibiotics (4-6 weeks) plus surgical debridement</w:t>
      </w:r>
    </w:p>
    <w:p>
      <w:pPr>
        <w:spacing w:after="200" w:line="276" w:lineRule="auto"/>
      </w:pPr>
      <w:r>
        <w:t>🧠 Clinical Rationale: Bone infection needs weeks of antibiotics and source control; culture-guided therapy.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Osteomyelitis - Duration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Prolonged IV antibiotics (4-6 weeks) plus surgical debridement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antibiotics for 3 days — correct in another context, but not for this patient/drug link</w:t>
      </w:r>
    </w:p>
    <w:p>
      <w:pPr>
        <w:spacing w:after="200" w:line="276" w:lineRule="auto"/>
      </w:pPr>
      <w:r>
        <w:t>C. No treatment — correct in another context, but not for this patient/drug link</w:t>
      </w:r>
    </w:p>
    <w:p>
      <w:pPr>
        <w:spacing w:after="200" w:line="276" w:lineRule="auto"/>
      </w:pPr>
      <w:r>
        <w:t>D. Topical creams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Methotrexate is the anchor DMARD for rheumatoid arthritis; its main toxicity is</w:t>
      </w:r>
    </w:p>
    <w:p>
      <w:pPr>
        <w:spacing w:after="200" w:line="276" w:lineRule="auto"/>
      </w:pPr>
      <w:r>
        <w:t>(a) Nephrotoxicity only</w:t>
      </w:r>
    </w:p>
    <w:p>
      <w:pPr>
        <w:spacing w:after="200" w:line="276" w:lineRule="auto"/>
      </w:pPr>
      <w:r>
        <w:t>(b) Tachycardia</w:t>
      </w:r>
    </w:p>
    <w:p>
      <w:pPr>
        <w:spacing w:after="200" w:line="276" w:lineRule="auto"/>
      </w:pPr>
      <w:r>
        <w:t>(c) Hepatotoxicity, myelosuppression and folate deficiency (give folic acid)</w:t>
      </w:r>
    </w:p>
    <w:p>
      <w:pPr>
        <w:spacing w:after="200" w:line="276" w:lineRule="auto"/>
      </w:pPr>
      <w:r>
        <w:t>(d) Alopecia always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Hepatotoxicity, myelosuppression and folate deficiency (give folic acid)</w:t>
      </w:r>
    </w:p>
    <w:p>
      <w:pPr>
        <w:spacing w:after="200" w:line="276" w:lineRule="auto"/>
      </w:pPr>
      <w:r>
        <w:t>🧠 Clinical Rationale: MTX is first-line; folic acid co-administration reduces side effects; monitor LFTs and counts.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RA - DMARD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Hepatotoxicity, myelosuppression and folate deficiency (give folic acid)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Nephrotoxicity only — correct in another context, but not for this patient/drug link</w:t>
      </w:r>
    </w:p>
    <w:p>
      <w:pPr>
        <w:spacing w:after="200" w:line="276" w:lineRule="auto"/>
      </w:pPr>
      <w:r>
        <w:t>B. Tachycardia — correct in another context, but not for this patient/drug link</w:t>
      </w:r>
    </w:p>
    <w:p>
      <w:pPr>
        <w:spacing w:after="200" w:line="276" w:lineRule="auto"/>
      </w:pPr>
      <w:r>
        <w:t>D. Alopecia always — correct in another context, but not for this patient/drug link</w:t>
      </w:r>
    </w:p>
    <w:p>
      <w:pPr>
        <w:spacing w:after="200" w:line="276" w:lineRule="auto"/>
      </w:pPr>
      <w:r>
        <w:t>⚠️ Exam Trap: RA = symmetrical + morning stiffness + systemic; osteoarthritis = asymmetric weight-bearing joints, worse with activity — the contrast is classic.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Rheumatoid arthritis: symmetric small-joint pain/stiffness worse in the morning — disease-modifying drugs (methotrexate) slow joint damage.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Rheumatoid arthritis</w:t>
      </w:r>
    </w:p>
    <w:p>
      <w:pPr>
        <w:spacing w:after="200" w:line="276" w:lineRule="auto"/>
      </w:pPr>
      <w:r>
        <w:t>→ Clues: symmetric joint pain/swelling, morning stiffness &gt; 1 h, fatigue</w:t>
      </w:r>
    </w:p>
    <w:p>
      <w:pPr>
        <w:spacing w:after="200" w:line="276" w:lineRule="auto"/>
      </w:pPr>
      <w:r>
        <w:t>→ Treatment: NSAIDs, methotrexate (DMARD), biologics, steroids</w:t>
      </w:r>
    </w:p>
    <w:p>
      <w:pPr>
        <w:spacing w:after="200" w:line="276" w:lineRule="auto"/>
      </w:pPr>
      <w:r>
        <w:t>→ Nursing: heat/ice, rest vs exercise balance, splinting, joint protection</w:t>
      </w:r>
    </w:p>
    <w:p>
      <w:pPr>
        <w:spacing w:after="200" w:line="276" w:lineRule="auto"/>
      </w:pPr>
      <w:r>
        <w:t>→ Monitor: drug side effects (methotrexate — folate, liver, bone marrow)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highly protein-bound drug's free (active) fraction increases when</w:t>
      </w:r>
    </w:p>
    <w:p>
      <w:pPr>
        <w:spacing w:after="200" w:line="276" w:lineRule="auto"/>
      </w:pPr>
      <w:r>
        <w:t>(a) Albumin is high</w:t>
      </w:r>
    </w:p>
    <w:p>
      <w:pPr>
        <w:spacing w:after="200" w:line="276" w:lineRule="auto"/>
      </w:pPr>
      <w:r>
        <w:t>(b) Renal function is perfect</w:t>
      </w:r>
    </w:p>
    <w:p>
      <w:pPr>
        <w:spacing w:after="200" w:line="276" w:lineRule="auto"/>
      </w:pPr>
      <w:r>
        <w:t>(c) It is taken with food</w:t>
      </w:r>
    </w:p>
    <w:p>
      <w:pPr>
        <w:spacing w:after="200" w:line="276" w:lineRule="auto"/>
      </w:pPr>
      <w:r>
        <w:t>(d) Albumin is low or a second highly bound drug displaces it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Albumin is low or a second highly bound drug displaces it</w:t>
      </w:r>
    </w:p>
    <w:p>
      <w:pPr>
        <w:spacing w:after="200" w:line="276" w:lineRule="auto"/>
      </w:pPr>
      <w:r>
        <w:t>🧠 Clinical Rationale: Hypoalbuminaemia and displacement raise free drug levels — enhanced effect/toxicity.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Drug - Protein Binding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Albumin is low or a second highly bound drug displaces it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Albumin is high — correct in another context, but not for this patient/drug link</w:t>
      </w:r>
    </w:p>
    <w:p>
      <w:pPr>
        <w:spacing w:after="200" w:line="276" w:lineRule="auto"/>
      </w:pPr>
      <w:r>
        <w:t>B. Renal function is perfect — correct in another context, but not for this patient/drug link</w:t>
      </w:r>
    </w:p>
    <w:p>
      <w:pPr>
        <w:spacing w:after="200" w:line="276" w:lineRule="auto"/>
      </w:pPr>
      <w:r>
        <w:t>C. It is taken with food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drug that inhibits CYP3A4 will</w:t>
      </w:r>
    </w:p>
    <w:p>
      <w:pPr>
        <w:spacing w:after="200" w:line="276" w:lineRule="auto"/>
      </w:pPr>
      <w:r>
        <w:t>(a) Lower their levels</w:t>
      </w:r>
    </w:p>
    <w:p>
      <w:pPr>
        <w:spacing w:after="200" w:line="276" w:lineRule="auto"/>
      </w:pPr>
      <w:r>
        <w:t>(b) Raise levels of CYP3A4-metabolised drugs (toxicity risk)</w:t>
      </w:r>
    </w:p>
    <w:p>
      <w:pPr>
        <w:spacing w:after="200" w:line="276" w:lineRule="auto"/>
      </w:pPr>
      <w:r>
        <w:t>(c) Have no effect</w:t>
      </w:r>
    </w:p>
    <w:p>
      <w:pPr>
        <w:spacing w:after="200" w:line="276" w:lineRule="auto"/>
      </w:pPr>
      <w:r>
        <w:t>(d) Only affect IV drugs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Raise levels of CYP3A4-metabolised drugs (toxicity risk)</w:t>
      </w:r>
    </w:p>
    <w:p>
      <w:pPr>
        <w:spacing w:after="200" w:line="276" w:lineRule="auto"/>
      </w:pPr>
      <w:r>
        <w:t>🧠 Clinical Rationale: CYP inhibitors (ketoconazole, clarithromycin, grapefruit) increase substrate levels — adjust doses.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Drug - CYP Interactions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Raise levels of CYP3A4-metabolised drugs (toxicity risk)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Lower their levels — correct in another context, but not for this patient/drug link</w:t>
      </w:r>
    </w:p>
    <w:p>
      <w:pPr>
        <w:spacing w:after="200" w:line="276" w:lineRule="auto"/>
      </w:pPr>
      <w:r>
        <w:t>C. Have no effect — correct in another context, but not for this patient/drug link</w:t>
      </w:r>
    </w:p>
    <w:p>
      <w:pPr>
        <w:spacing w:after="200" w:line="276" w:lineRule="auto"/>
      </w:pPr>
      <w:r>
        <w:t>D. Only affect IV drugs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pregnant woman with epilepsy on valproate is at risk of</w:t>
      </w:r>
    </w:p>
    <w:p>
      <w:pPr>
        <w:spacing w:after="200" w:line="276" w:lineRule="auto"/>
      </w:pPr>
      <w:r>
        <w:t>(a) Fetal neural-tube defects — switch to safer anticonvulsant with specialist care</w:t>
      </w:r>
    </w:p>
    <w:p>
      <w:pPr>
        <w:spacing w:after="200" w:line="276" w:lineRule="auto"/>
      </w:pPr>
      <w:r>
        <w:t>(b) No risk</w:t>
      </w:r>
    </w:p>
    <w:p>
      <w:pPr>
        <w:spacing w:after="200" w:line="276" w:lineRule="auto"/>
      </w:pPr>
      <w:r>
        <w:t>(c) Macrosomia</w:t>
      </w:r>
    </w:p>
    <w:p>
      <w:pPr>
        <w:spacing w:after="200" w:line="276" w:lineRule="auto"/>
      </w:pPr>
      <w:r>
        <w:t>(d) Polyhydramnios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Fetal neural-tube defects — switch to safer anticonvulsant with specialist care</w:t>
      </w:r>
    </w:p>
    <w:p>
      <w:pPr>
        <w:spacing w:after="200" w:line="276" w:lineRule="auto"/>
      </w:pPr>
      <w:r>
        <w:t>🧠 Clinical Rationale: Valproate is teratogenic; lamotrigine/levetiracetam are preferred in pregnancy with folate.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Pregnancy - Drug Safety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Fetal neural-tube defects — switch to safer anticonvulsant with specialist care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risk — correct in another context, but not for this patient/drug link</w:t>
      </w:r>
    </w:p>
    <w:p>
      <w:pPr>
        <w:spacing w:after="200" w:line="276" w:lineRule="auto"/>
      </w:pPr>
      <w:r>
        <w:t>C. Macrosomia — correct in another context, but not for this patient/drug link</w:t>
      </w:r>
    </w:p>
    <w:p>
      <w:pPr>
        <w:spacing w:after="200" w:line="276" w:lineRule="auto"/>
      </w:pPr>
      <w:r>
        <w:t>D. Polyhydramnios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breastfeeding mother should AVOID which drug?</w:t>
      </w:r>
    </w:p>
    <w:p>
      <w:pPr>
        <w:spacing w:after="200" w:line="276" w:lineRule="auto"/>
      </w:pPr>
      <w:r>
        <w:t>(a) Cytotoxics, lithium and ergot alkaloids</w:t>
      </w:r>
    </w:p>
    <w:p>
      <w:pPr>
        <w:spacing w:after="200" w:line="276" w:lineRule="auto"/>
      </w:pPr>
      <w:r>
        <w:t>(b) Paracetamol</w:t>
      </w:r>
    </w:p>
    <w:p>
      <w:pPr>
        <w:spacing w:after="200" w:line="276" w:lineRule="auto"/>
      </w:pPr>
      <w:r>
        <w:t>(c) Ibuprofen</w:t>
      </w:r>
    </w:p>
    <w:p>
      <w:pPr>
        <w:spacing w:after="200" w:line="276" w:lineRule="auto"/>
      </w:pPr>
      <w:r>
        <w:t>(d) Amoxicillin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Cytotoxics, lithium and ergot alkaloids</w:t>
      </w:r>
    </w:p>
    <w:p>
      <w:pPr>
        <w:spacing w:after="200" w:line="276" w:lineRule="auto"/>
      </w:pPr>
      <w:r>
        <w:t>🧠 Clinical Rationale: Cytotoxics, lithium, ergots and some antiepileptics are contraindicated during breastfeeding.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Breastfeeding - Drug Safety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Cytotoxics, lithium and ergot alkaloids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Paracetamol — correct in another context, but not for this patient/drug link</w:t>
      </w:r>
    </w:p>
    <w:p>
      <w:pPr>
        <w:spacing w:after="200" w:line="276" w:lineRule="auto"/>
      </w:pPr>
      <w:r>
        <w:t>C. Ibuprofen — correct in another context, but not for this patient/drug link</w:t>
      </w:r>
    </w:p>
    <w:p>
      <w:pPr>
        <w:spacing w:after="200" w:line="276" w:lineRule="auto"/>
      </w:pPr>
      <w:r>
        <w:t>D. Amoxicillin — correct in another context, but not for this patient/drug link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Breastfeeding hormones</w:t>
      </w:r>
    </w:p>
    <w:p>
      <w:pPr>
        <w:spacing w:after="200" w:line="276" w:lineRule="auto"/>
      </w:pPr>
      <w:r>
        <w:t>→ Prolactin (anterior pituitary): milk synthesis/production</w:t>
      </w:r>
    </w:p>
    <w:p>
      <w:pPr>
        <w:spacing w:after="200" w:line="276" w:lineRule="auto"/>
      </w:pPr>
      <w:r>
        <w:t>→ Oxytocin (posterior pituitary): milk ejection (let-down reflex)</w:t>
      </w:r>
    </w:p>
    <w:p>
      <w:pPr>
        <w:spacing w:after="200" w:line="276" w:lineRule="auto"/>
      </w:pPr>
      <w:r>
        <w:t>→ Suckling stimulates both; stress inhibits let-down</w:t>
      </w:r>
    </w:p>
    <w:p>
      <w:pPr>
        <w:spacing w:after="200" w:line="276" w:lineRule="auto"/>
      </w:pPr>
      <w:r>
        <w:t>→ Exclusive breastfeeding first 6 months; colostrum = first milk (IgA-rich)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important factor determining paediatric drug dosing is</w:t>
      </w:r>
    </w:p>
    <w:p>
      <w:pPr>
        <w:spacing w:after="200" w:line="276" w:lineRule="auto"/>
      </w:pPr>
      <w:r>
        <w:t>(a) Age in years only</w:t>
      </w:r>
    </w:p>
    <w:p>
      <w:pPr>
        <w:spacing w:after="200" w:line="276" w:lineRule="auto"/>
      </w:pPr>
      <w:r>
        <w:t>(b) Body weight (mg/kg) with organ-function adjustment</w:t>
      </w:r>
    </w:p>
    <w:p>
      <w:pPr>
        <w:spacing w:after="200" w:line="276" w:lineRule="auto"/>
      </w:pPr>
      <w:r>
        <w:t>(c) Height only</w:t>
      </w:r>
    </w:p>
    <w:p>
      <w:pPr>
        <w:spacing w:after="200" w:line="276" w:lineRule="auto"/>
      </w:pPr>
      <w:r>
        <w:t>(d) Adult dose divided by 2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Body weight (mg/kg) with organ-function adjustment</w:t>
      </w:r>
    </w:p>
    <w:p>
      <w:pPr>
        <w:spacing w:after="200" w:line="276" w:lineRule="auto"/>
      </w:pPr>
      <w:r>
        <w:t>🧠 Clinical Rationale: Weight-based dosing with renal/hepatic maturation adjustment prevents toxicity and underdosing.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Paediatric - Drug Dosing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Body weight (mg/kg) with organ-function adjustment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Age in years only — correct in another context, but not for this patient/drug link</w:t>
      </w:r>
    </w:p>
    <w:p>
      <w:pPr>
        <w:spacing w:after="200" w:line="276" w:lineRule="auto"/>
      </w:pPr>
      <w:r>
        <w:t>C. Height only — correct in another context, but not for this patient/drug link</w:t>
      </w:r>
    </w:p>
    <w:p>
      <w:pPr>
        <w:spacing w:after="200" w:line="276" w:lineRule="auto"/>
      </w:pPr>
      <w:r>
        <w:t>D. Adult dose divided by 2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a confirmed severe penicillin allergy and bacterial pneumonia should receive</w:t>
      </w:r>
    </w:p>
    <w:p>
      <w:pPr>
        <w:spacing w:after="200" w:line="276" w:lineRule="auto"/>
      </w:pPr>
      <w:r>
        <w:t>(a) Penicillin with monitoring</w:t>
      </w:r>
    </w:p>
    <w:p>
      <w:pPr>
        <w:spacing w:after="200" w:line="276" w:lineRule="auto"/>
      </w:pPr>
      <w:r>
        <w:t>(b) Alternative antibiotic (e.g., macrolide or clindamycin) — not penicillin</w:t>
      </w:r>
    </w:p>
    <w:p>
      <w:pPr>
        <w:spacing w:after="200" w:line="276" w:lineRule="auto"/>
      </w:pPr>
      <w:r>
        <w:t>(c) The same drug anyway</w:t>
      </w:r>
    </w:p>
    <w:p>
      <w:pPr>
        <w:spacing w:after="200" w:line="276" w:lineRule="auto"/>
      </w:pPr>
      <w:r>
        <w:t>(d) Antihistamine + penicillin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Alternative antibiotic (e.g., macrolide or clindamycin) — not penicillin</w:t>
      </w:r>
    </w:p>
    <w:p>
      <w:pPr>
        <w:spacing w:after="200" w:line="276" w:lineRule="auto"/>
      </w:pPr>
      <w:r>
        <w:t>🧠 Clinical Rationale: Document and respect true allergies; choose safe alternatives to avoid anaphylaxis.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Child - Antibiotic Allergy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Alternative antibiotic (e.g., macrolide or clindamycin) — not penicillin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Penicillin with monitoring — correct in another context, but not for this patient/drug link</w:t>
      </w:r>
    </w:p>
    <w:p>
      <w:pPr>
        <w:spacing w:after="200" w:line="276" w:lineRule="auto"/>
      </w:pPr>
      <w:r>
        <w:t>C. The same drug anyway — correct in another context, but not for this patient/drug link</w:t>
      </w:r>
    </w:p>
    <w:p>
      <w:pPr>
        <w:spacing w:after="200" w:line="276" w:lineRule="auto"/>
      </w:pPr>
      <w:r>
        <w:t>D. Antihistamine + penicillin — correct in another context, but not for this patient/drug link</w:t>
      </w:r>
    </w:p>
    <w:p>
      <w:pPr>
        <w:spacing w:after="200" w:line="276" w:lineRule="auto"/>
      </w:pPr>
      <w:r>
        <w:t>⚠️ Exam Trap: Mechanism of action is the exam point: penicillins → cell wall; aminoglycosides/macrolides → protein synthesis.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Penicillins are beta-lactams that inhibit bacterial CELL WALL (peptidoglycan) synthesis; watch for allergy (anaphylaxis).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Antibiotic mechanisms</w:t>
      </w:r>
    </w:p>
    <w:p>
      <w:pPr>
        <w:spacing w:after="200" w:line="276" w:lineRule="auto"/>
      </w:pPr>
      <w:r>
        <w:t>→ Cell wall: penicillins, cephalosporins, vancomycin</w:t>
      </w:r>
    </w:p>
    <w:p>
      <w:pPr>
        <w:spacing w:after="200" w:line="276" w:lineRule="auto"/>
      </w:pPr>
      <w:r>
        <w:t>→ Protein synthesis: aminoglycosides, macrolides, tetracyclines</w:t>
      </w:r>
    </w:p>
    <w:p>
      <w:pPr>
        <w:spacing w:after="200" w:line="276" w:lineRule="auto"/>
      </w:pPr>
      <w:r>
        <w:t>→ DNA gyrase: fluoroquinolones</w:t>
      </w:r>
    </w:p>
    <w:p>
      <w:pPr>
        <w:spacing w:after="200" w:line="276" w:lineRule="auto"/>
      </w:pPr>
      <w:r>
        <w:t>→ Folic acid: sulfonamides, trimethoprim</w:t>
      </w:r>
    </w:p>
    <w:p>
      <w:pPr>
        <w:spacing w:after="200" w:line="276" w:lineRule="auto"/>
      </w:pPr>
      <w:r>
        <w:t>→ Always ask about penicillin allergy history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DOTS patient reports joint pain on pyrazinamide. The nurse should</w:t>
      </w:r>
    </w:p>
    <w:p>
      <w:pPr>
        <w:spacing w:after="200" w:line="276" w:lineRule="auto"/>
      </w:pPr>
      <w:r>
        <w:t>(a) Stop all TB drugs</w:t>
      </w:r>
    </w:p>
    <w:p>
      <w:pPr>
        <w:spacing w:after="200" w:line="276" w:lineRule="auto"/>
      </w:pPr>
      <w:r>
        <w:t>(b) Ignore it</w:t>
      </w:r>
    </w:p>
    <w:p>
      <w:pPr>
        <w:spacing w:after="200" w:line="276" w:lineRule="auto"/>
      </w:pPr>
      <w:r>
        <w:t>(c) Give pyridoxine for INH and arrange uric-acid evaluation (pyrazinamide hyperuricaemia)</w:t>
      </w:r>
    </w:p>
    <w:p>
      <w:pPr>
        <w:spacing w:after="200" w:line="276" w:lineRule="auto"/>
      </w:pPr>
      <w:r>
        <w:t>(d) Give more pyrazinamide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Give pyridoxine for INH and arrange uric-acid evaluation (pyrazinamide hyperuricaemia)</w:t>
      </w:r>
    </w:p>
    <w:p>
      <w:pPr>
        <w:spacing w:after="200" w:line="276" w:lineRule="auto"/>
      </w:pPr>
      <w:r>
        <w:t>🧠 Clinical Rationale: Pyrazinamide raises uric acid (joint pain); INH needs B6. Manage symptoms while continuing therapy.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TB - DOTS &amp; Side Effects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Give pyridoxine for INH and arrange uric-acid evaluation (pyrazinamide hyperuricaemia)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 all TB drugs — correct in another context, but not for this patient/drug link</w:t>
      </w:r>
    </w:p>
    <w:p>
      <w:pPr>
        <w:spacing w:after="200" w:line="276" w:lineRule="auto"/>
      </w:pPr>
      <w:r>
        <w:t>B. Ignore it — correct in another context, but not for this patient/drug link</w:t>
      </w:r>
    </w:p>
    <w:p>
      <w:pPr>
        <w:spacing w:after="200" w:line="276" w:lineRule="auto"/>
      </w:pPr>
      <w:r>
        <w:t>D. Give more pyrazinamide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lithium needs monitoring of</w:t>
      </w:r>
    </w:p>
    <w:p>
      <w:pPr>
        <w:spacing w:after="200" w:line="276" w:lineRule="auto"/>
      </w:pPr>
      <w:r>
        <w:t>(a) Serum lithium levels, renal/thyroid function and sodium intake</w:t>
      </w:r>
    </w:p>
    <w:p>
      <w:pPr>
        <w:spacing w:after="200" w:line="276" w:lineRule="auto"/>
      </w:pPr>
      <w:r>
        <w:t>(b) Only mood</w:t>
      </w:r>
    </w:p>
    <w:p>
      <w:pPr>
        <w:spacing w:after="200" w:line="276" w:lineRule="auto"/>
      </w:pPr>
      <w:r>
        <w:t>(c) Blood sugar</w:t>
      </w:r>
    </w:p>
    <w:p>
      <w:pPr>
        <w:spacing w:after="200" w:line="276" w:lineRule="auto"/>
      </w:pPr>
      <w:r>
        <w:t>(d) Cholesterol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Serum lithium levels, renal/thyroid function and sodium intake</w:t>
      </w:r>
    </w:p>
    <w:p>
      <w:pPr>
        <w:spacing w:after="200" w:line="276" w:lineRule="auto"/>
      </w:pPr>
      <w:r>
        <w:t>🧠 Clinical Rationale: Lithium has a narrow window (0.6-1.2) — monitor levels, kidneys, thyroid; salt depletion raises levels.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Lithium - Monitoring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Serum lithium levels, renal/thyroid function and sodium intake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mood — correct in another context, but not for this patient/drug link</w:t>
      </w:r>
    </w:p>
    <w:p>
      <w:pPr>
        <w:spacing w:after="200" w:line="276" w:lineRule="auto"/>
      </w:pPr>
      <w:r>
        <w:t>C. Blood sugar — correct in another context, but not for this patient/drug link</w:t>
      </w:r>
    </w:p>
    <w:p>
      <w:pPr>
        <w:spacing w:after="200" w:line="276" w:lineRule="auto"/>
      </w:pPr>
      <w:r>
        <w:t>D. Cholesterol — correct in another context, but not for this patient/drug link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Mania / lithium</w:t>
      </w:r>
    </w:p>
    <w:p>
      <w:pPr>
        <w:spacing w:after="200" w:line="276" w:lineRule="auto"/>
      </w:pPr>
      <w:r>
        <w:t>→ Mania: elevated mood, pressured speech, decreased sleep, poor judgement</w:t>
      </w:r>
    </w:p>
    <w:p>
      <w:pPr>
        <w:spacing w:after="200" w:line="276" w:lineRule="auto"/>
      </w:pPr>
      <w:r>
        <w:t>→ Lithium: therapeutic 0.6–1.2 mEq/L; toxic &gt; 1.5 (tremor, ataxia, vomiting)</w:t>
      </w:r>
    </w:p>
    <w:p>
      <w:pPr>
        <w:spacing w:after="200" w:line="276" w:lineRule="auto"/>
      </w:pPr>
      <w:r>
        <w:t>→ Monitor: serum levels, sodium, hydration, renal/thyroid function</w:t>
      </w:r>
    </w:p>
    <w:p>
      <w:pPr>
        <w:spacing w:after="200" w:line="276" w:lineRule="auto"/>
      </w:pPr>
      <w:r>
        <w:t>→ Safety: remove harmful objects, low-stimulation environment, adequate fluids/sleep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large randomised study comparing a new drug against standard care for efficacy is a</w:t>
      </w:r>
    </w:p>
    <w:p>
      <w:pPr>
        <w:spacing w:after="200" w:line="276" w:lineRule="auto"/>
      </w:pPr>
      <w:r>
        <w:t>(a) Phase I trial</w:t>
      </w:r>
    </w:p>
    <w:p>
      <w:pPr>
        <w:spacing w:after="200" w:line="276" w:lineRule="auto"/>
      </w:pPr>
      <w:r>
        <w:t>(b) Case series</w:t>
      </w:r>
    </w:p>
    <w:p>
      <w:pPr>
        <w:spacing w:after="200" w:line="276" w:lineRule="auto"/>
      </w:pPr>
      <w:r>
        <w:t>(c) Post-marketing survey</w:t>
      </w:r>
    </w:p>
    <w:p>
      <w:pPr>
        <w:spacing w:after="200" w:line="276" w:lineRule="auto"/>
      </w:pPr>
      <w:r>
        <w:t>(d) Phase III clinical trial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Phase III clinical trial</w:t>
      </w:r>
    </w:p>
    <w:p>
      <w:pPr>
        <w:spacing w:after="200" w:line="276" w:lineRule="auto"/>
      </w:pPr>
      <w:r>
        <w:t>🧠 Clinical Rationale: Phase III trials establish efficacy in large populations; Phase IV monitors post-market safety.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Drug Trials - Phase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Phase III clinical trial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Phase I trial — correct in another context, but not for this patient/drug link</w:t>
      </w:r>
    </w:p>
    <w:p>
      <w:pPr>
        <w:spacing w:after="200" w:line="276" w:lineRule="auto"/>
      </w:pPr>
      <w:r>
        <w:t>B. Case series — correct in another context, but not for this patient/drug link</w:t>
      </w:r>
    </w:p>
    <w:p>
      <w:pPr>
        <w:spacing w:after="200" w:line="276" w:lineRule="auto"/>
      </w:pPr>
      <w:r>
        <w:t>C. Post-marketing survey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Independent double-checks are mandatory for</w:t>
      </w:r>
    </w:p>
    <w:p>
      <w:pPr>
        <w:spacing w:after="200" w:line="276" w:lineRule="auto"/>
      </w:pPr>
      <w:r>
        <w:t>(a) Oral paracetamol</w:t>
      </w:r>
    </w:p>
    <w:p>
      <w:pPr>
        <w:spacing w:after="200" w:line="276" w:lineRule="auto"/>
      </w:pPr>
      <w:r>
        <w:t>(b) IV insulin, heparin, opioids and chemotherapy</w:t>
      </w:r>
    </w:p>
    <w:p>
      <w:pPr>
        <w:spacing w:after="200" w:line="276" w:lineRule="auto"/>
      </w:pPr>
      <w:r>
        <w:t>(c) Topical creams</w:t>
      </w:r>
    </w:p>
    <w:p>
      <w:pPr>
        <w:spacing w:after="200" w:line="276" w:lineRule="auto"/>
      </w:pPr>
      <w:r>
        <w:t>(d) Vitamins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IV insulin, heparin, opioids and chemotherapy</w:t>
      </w:r>
    </w:p>
    <w:p>
      <w:pPr>
        <w:spacing w:after="200" w:line="276" w:lineRule="auto"/>
      </w:pPr>
      <w:r>
        <w:t>🧠 Clinical Rationale: High-alert medications require independent verification of dose, patient and infusion rate.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High-Alert - Double Check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IV insulin, heparin, opioids and chemotherapy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paracetamol — correct in another context, but not for this patient/drug link</w:t>
      </w:r>
    </w:p>
    <w:p>
      <w:pPr>
        <w:spacing w:after="200" w:line="276" w:lineRule="auto"/>
      </w:pPr>
      <w:r>
        <w:t>C. Topical creams — correct in another context, but not for this patient/drug link</w:t>
      </w:r>
    </w:p>
    <w:p>
      <w:pPr>
        <w:spacing w:after="200" w:line="276" w:lineRule="auto"/>
      </w:pPr>
      <w:r>
        <w:t>D. Vitamins — correct in another context, but not for this patient/drug link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teaches an elderly patient about polypharmacy because it</w:t>
      </w:r>
    </w:p>
    <w:p>
      <w:pPr>
        <w:spacing w:after="200" w:line="276" w:lineRule="auto"/>
      </w:pPr>
      <w:r>
        <w:t>(a) Increases adverse drug reactions, falls and hospitalisation</w:t>
      </w:r>
    </w:p>
    <w:p>
      <w:pPr>
        <w:spacing w:after="200" w:line="276" w:lineRule="auto"/>
      </w:pPr>
      <w:r>
        <w:t>(b) Improves adherence</w:t>
      </w:r>
    </w:p>
    <w:p>
      <w:pPr>
        <w:spacing w:after="200" w:line="276" w:lineRule="auto"/>
      </w:pPr>
      <w:r>
        <w:t>(c) Is always safe</w:t>
      </w:r>
    </w:p>
    <w:p>
      <w:pPr>
        <w:spacing w:after="200" w:line="276" w:lineRule="auto"/>
      </w:pPr>
      <w:r>
        <w:t>(d) Reduces cost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Increases adverse drug reactions, falls and hospitalisation</w:t>
      </w:r>
    </w:p>
    <w:p>
      <w:pPr>
        <w:spacing w:after="200" w:line="276" w:lineRule="auto"/>
      </w:pPr>
      <w:r>
        <w:t>🧠 Clinical Rationale: Medication review and simplification reduce ADRs, falls and interactions in the elderly.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Polypharmacy - Elderly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Increases adverse drug reactions, falls and hospitalisation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Improves adherence — correct in another context, but not for this patient/drug link</w:t>
      </w:r>
    </w:p>
    <w:p>
      <w:pPr>
        <w:spacing w:after="200" w:line="276" w:lineRule="auto"/>
      </w:pPr>
      <w:r>
        <w:t>C. Is always safe — correct in another context, but not for this patient/drug link</w:t>
      </w:r>
    </w:p>
    <w:p>
      <w:pPr>
        <w:spacing w:after="200" w:line="276" w:lineRule="auto"/>
      </w:pPr>
      <w:r>
        <w:t>D. Reduces cost — correct in another context, but not for this patient/drug link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Fall prevention</w:t>
      </w:r>
    </w:p>
    <w:p>
      <w:pPr>
        <w:spacing w:after="200" w:line="276" w:lineRule="auto"/>
      </w:pPr>
      <w:r>
        <w:t>→ Assess: fall risk scale (Morse), gait, medications (sedatives/hypotensives)</w:t>
      </w:r>
    </w:p>
    <w:p>
      <w:pPr>
        <w:spacing w:after="200" w:line="276" w:lineRule="auto"/>
      </w:pPr>
      <w:r>
        <w:t>→ Environment: low bed, brakes, side rails as ordered, clear pathways, night light</w:t>
      </w:r>
    </w:p>
    <w:p>
      <w:pPr>
        <w:spacing w:after="200" w:line="276" w:lineRule="auto"/>
      </w:pPr>
      <w:r>
        <w:t>→ Assistance: call bell in reach, non-slip socks, assist to bathroom regularly</w:t>
      </w:r>
    </w:p>
    <w:p>
      <w:pPr>
        <w:spacing w:after="200" w:line="276" w:lineRule="auto"/>
      </w:pPr>
      <w:r>
        <w:t>→ Document and report falls; reassess after any fall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CYP2D6 poor metabolisers given codeine may have</w:t>
      </w:r>
    </w:p>
    <w:p>
      <w:pPr>
        <w:spacing w:after="200" w:line="276" w:lineRule="auto"/>
      </w:pPr>
      <w:r>
        <w:t>(a) Better pain relief</w:t>
      </w:r>
    </w:p>
    <w:p>
      <w:pPr>
        <w:spacing w:after="200" w:line="276" w:lineRule="auto"/>
      </w:pPr>
      <w:r>
        <w:t>(b) No effect</w:t>
      </w:r>
    </w:p>
    <w:p>
      <w:pPr>
        <w:spacing w:after="200" w:line="276" w:lineRule="auto"/>
      </w:pPr>
      <w:r>
        <w:t>(c) Reduced analgesia or toxicity (codeine conversion varies)</w:t>
      </w:r>
    </w:p>
    <w:p>
      <w:pPr>
        <w:spacing w:after="200" w:line="276" w:lineRule="auto"/>
      </w:pPr>
      <w:r>
        <w:t>(d) Allergy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Reduced analgesia or toxicity (codeine conversion varies)</w:t>
      </w:r>
    </w:p>
    <w:p>
      <w:pPr>
        <w:spacing w:after="200" w:line="276" w:lineRule="auto"/>
      </w:pPr>
      <w:r>
        <w:t>🧠 Clinical Rationale: CYP2D6 variants alter codeine → morphine conversion; poor metabolisers lack effect, ultrarapid risk toxicity.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Pharmacogenomics - CYP2D6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Reduced analgesia or toxicity (codeine conversion varies)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Better pain relief — correct in another context, but not for this patient/drug link</w:t>
      </w:r>
    </w:p>
    <w:p>
      <w:pPr>
        <w:spacing w:after="200" w:line="276" w:lineRule="auto"/>
      </w:pPr>
      <w:r>
        <w:t>B. No effect — correct in another context, but not for this patient/drug link</w:t>
      </w:r>
    </w:p>
    <w:p>
      <w:pPr>
        <w:spacing w:after="200" w:line="276" w:lineRule="auto"/>
      </w:pPr>
      <w:r>
        <w:t>D. Allergy only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serious adverse drug reaction should be reported to</w:t>
      </w:r>
    </w:p>
    <w:p>
      <w:pPr>
        <w:spacing w:after="200" w:line="276" w:lineRule="auto"/>
      </w:pPr>
      <w:r>
        <w:t>(a) No one</w:t>
      </w:r>
    </w:p>
    <w:p>
      <w:pPr>
        <w:spacing w:after="200" w:line="276" w:lineRule="auto"/>
      </w:pPr>
      <w:r>
        <w:t>(b) The media</w:t>
      </w:r>
    </w:p>
    <w:p>
      <w:pPr>
        <w:spacing w:after="200" w:line="276" w:lineRule="auto"/>
      </w:pPr>
      <w:r>
        <w:t>(c) Only the patient</w:t>
      </w:r>
    </w:p>
    <w:p>
      <w:pPr>
        <w:spacing w:after="200" w:line="276" w:lineRule="auto"/>
      </w:pPr>
      <w:r>
        <w:t>(d) Pharmacovigilance (e.g., IPC/PvPI) with full documentation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Pharmacovigilance (e.g., IPC/PvPI) with full documentation</w:t>
      </w:r>
    </w:p>
    <w:p>
      <w:pPr>
        <w:spacing w:after="200" w:line="276" w:lineRule="auto"/>
      </w:pPr>
      <w:r>
        <w:t>🧠 Clinical Rationale: ADR reporting improves drug safety; document and submit per national pharmacovigilance.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Adverse Drug Reaction - Reporting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Pharmacovigilance (e.g., IPC/PvPI) with full documentation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one — correct in another context, but not for this patient/drug link</w:t>
      </w:r>
    </w:p>
    <w:p>
      <w:pPr>
        <w:spacing w:after="200" w:line="276" w:lineRule="auto"/>
      </w:pPr>
      <w:r>
        <w:t>B. The media — correct in another context, but not for this patient/drug link</w:t>
      </w:r>
    </w:p>
    <w:p>
      <w:pPr>
        <w:spacing w:after="200" w:line="276" w:lineRule="auto"/>
      </w:pPr>
      <w:r>
        <w:t>C. Only the patient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