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154-lb patient's weight in kg (for dosing) is</w:t>
      </w:r>
    </w:p>
    <w:p>
      <w:pPr>
        <w:spacing w:after="200" w:line="276" w:lineRule="auto"/>
      </w:pPr>
      <w:r>
        <w:t>(a) 70 kg</w:t>
      </w:r>
    </w:p>
    <w:p>
      <w:pPr>
        <w:spacing w:after="200" w:line="276" w:lineRule="auto"/>
      </w:pPr>
      <w:r>
        <w:t>(b) 60 kg</w:t>
      </w:r>
    </w:p>
    <w:p>
      <w:pPr>
        <w:spacing w:after="200" w:line="276" w:lineRule="auto"/>
      </w:pPr>
      <w:r>
        <w:t>(c) 80 kg</w:t>
      </w:r>
    </w:p>
    <w:p>
      <w:pPr>
        <w:spacing w:after="200" w:line="276" w:lineRule="auto"/>
      </w:pPr>
      <w:r>
        <w:t>(d) 65 kg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70 kg</w:t>
      </w:r>
    </w:p>
    <w:p>
      <w:pPr>
        <w:spacing w:after="200" w:line="276" w:lineRule="auto"/>
      </w:pPr>
      <w:r>
        <w:t>🧠 Clinical Rationale: 154 ÷ 2.2 = 70 kg.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Dose - Weight Conversion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70 kg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60 kg — correct in another context, but not for this patient/drug link</w:t>
      </w:r>
    </w:p>
    <w:p>
      <w:pPr>
        <w:spacing w:after="200" w:line="276" w:lineRule="auto"/>
      </w:pPr>
      <w:r>
        <w:t>C. 80 kg — correct in another context, but not for this patient/drug link</w:t>
      </w:r>
    </w:p>
    <w:p>
      <w:pPr>
        <w:spacing w:after="200" w:line="276" w:lineRule="auto"/>
      </w:pPr>
      <w:r>
        <w:t>D. 65 kg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blood-brain barrier limits entry of</w:t>
      </w:r>
    </w:p>
    <w:p>
      <w:pPr>
        <w:spacing w:after="200" w:line="276" w:lineRule="auto"/>
      </w:pPr>
      <w:r>
        <w:t>(a) Small lipid-soluble drugs</w:t>
      </w:r>
    </w:p>
    <w:p>
      <w:pPr>
        <w:spacing w:after="200" w:line="276" w:lineRule="auto"/>
      </w:pPr>
      <w:r>
        <w:t>(b) All drugs</w:t>
      </w:r>
    </w:p>
    <w:p>
      <w:pPr>
        <w:spacing w:after="200" w:line="276" w:lineRule="auto"/>
      </w:pPr>
      <w:r>
        <w:t>(c) Large, hydrophilic drugs (need lipid-soluble agents for CNS effects)</w:t>
      </w:r>
    </w:p>
    <w:p>
      <w:pPr>
        <w:spacing w:after="200" w:line="276" w:lineRule="auto"/>
      </w:pPr>
      <w:r>
        <w:t>(d) No drugs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Large, hydrophilic drugs (need lipid-soluble agents for CNS effects)</w:t>
      </w:r>
    </w:p>
    <w:p>
      <w:pPr>
        <w:spacing w:after="200" w:line="276" w:lineRule="auto"/>
      </w:pPr>
      <w:r>
        <w:t>🧠 Clinical Rationale: Lipid solubility and size govern CNS penetration — relevant for CNS antibiotics and sedatives.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BBB - Drug Penetration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Large, hydrophilic drugs (need lipid-soluble agents for CNS effects)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Small lipid-soluble drugs — correct in another context, but not for this patient/drug link</w:t>
      </w:r>
    </w:p>
    <w:p>
      <w:pPr>
        <w:spacing w:after="200" w:line="276" w:lineRule="auto"/>
      </w:pPr>
      <w:r>
        <w:t>B. All drugs — correct in another context, but not for this patient/drug link</w:t>
      </w:r>
    </w:p>
    <w:p>
      <w:pPr>
        <w:spacing w:after="200" w:line="276" w:lineRule="auto"/>
      </w:pPr>
      <w:r>
        <w:t>D. No drugs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First-pass metabolism means an oral drug is</w:t>
      </w:r>
    </w:p>
    <w:p>
      <w:pPr>
        <w:spacing w:after="200" w:line="276" w:lineRule="auto"/>
      </w:pPr>
      <w:r>
        <w:t>(a) Fully absorbed unchanged</w:t>
      </w:r>
    </w:p>
    <w:p>
      <w:pPr>
        <w:spacing w:after="200" w:line="276" w:lineRule="auto"/>
      </w:pPr>
      <w:r>
        <w:t>(b) Partially metabolised by the liver before reaching systemic circulation</w:t>
      </w:r>
    </w:p>
    <w:p>
      <w:pPr>
        <w:spacing w:after="200" w:line="276" w:lineRule="auto"/>
      </w:pPr>
      <w:r>
        <w:t>(c) Excreted in urine first</w:t>
      </w:r>
    </w:p>
    <w:p>
      <w:pPr>
        <w:spacing w:after="200" w:line="276" w:lineRule="auto"/>
      </w:pPr>
      <w:r>
        <w:t>(d) Activated in the stomach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Partially metabolised by the liver before reaching systemic circulation</w:t>
      </w:r>
    </w:p>
    <w:p>
      <w:pPr>
        <w:spacing w:after="200" w:line="276" w:lineRule="auto"/>
      </w:pPr>
      <w:r>
        <w:t>🧠 Clinical Rationale: Hepatic first-pass reduces oral bioavailability — IV doses often differ from oral.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Liver - First Pass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Partially metabolised by the liver before reaching systemic circulation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Fully absorbed unchanged — correct in another context, but not for this patient/drug link</w:t>
      </w:r>
    </w:p>
    <w:p>
      <w:pPr>
        <w:spacing w:after="200" w:line="276" w:lineRule="auto"/>
      </w:pPr>
      <w:r>
        <w:t>C. Excreted in urine first — correct in another context, but not for this patient/drug link</w:t>
      </w:r>
    </w:p>
    <w:p>
      <w:pPr>
        <w:spacing w:after="200" w:line="276" w:lineRule="auto"/>
      </w:pPr>
      <w:r>
        <w:t>D. Activated in the stomach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Renal drug excretion depends on</w:t>
      </w:r>
    </w:p>
    <w:p>
      <w:pPr>
        <w:spacing w:after="200" w:line="276" w:lineRule="auto"/>
      </w:pPr>
      <w:r>
        <w:t>(a) Only heart rate</w:t>
      </w:r>
    </w:p>
    <w:p>
      <w:pPr>
        <w:spacing w:after="200" w:line="276" w:lineRule="auto"/>
      </w:pPr>
      <w:r>
        <w:t>(b) GFR, tubular secretion and reabsorption (and urine pH)</w:t>
      </w:r>
    </w:p>
    <w:p>
      <w:pPr>
        <w:spacing w:after="200" w:line="276" w:lineRule="auto"/>
      </w:pPr>
      <w:r>
        <w:t>(c) Body temperature</w:t>
      </w:r>
    </w:p>
    <w:p>
      <w:pPr>
        <w:spacing w:after="200" w:line="276" w:lineRule="auto"/>
      </w:pPr>
      <w:r>
        <w:t>(d) Skin area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GFR, tubular secretion and reabsorption (and urine pH)</w:t>
      </w:r>
    </w:p>
    <w:p>
      <w:pPr>
        <w:spacing w:after="200" w:line="276" w:lineRule="auto"/>
      </w:pPr>
      <w:r>
        <w:t>🧠 Clinical Rationale: Renal clearance is GFR-dependent — adjust renally excreted drugs in CKD.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Kidney - Drug Excretion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GFR, tubular secretion and reabsorption (and urine pH)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heart rate — correct in another context, but not for this patient/drug link</w:t>
      </w:r>
    </w:p>
    <w:p>
      <w:pPr>
        <w:spacing w:after="200" w:line="276" w:lineRule="auto"/>
      </w:pPr>
      <w:r>
        <w:t>C. Body temperature — correct in another context, but not for this patient/drug link</w:t>
      </w:r>
    </w:p>
    <w:p>
      <w:pPr>
        <w:spacing w:after="200" w:line="276" w:lineRule="auto"/>
      </w:pPr>
      <w:r>
        <w:t>D. Skin area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antagonist drug</w:t>
      </w:r>
    </w:p>
    <w:p>
      <w:pPr>
        <w:spacing w:after="200" w:line="276" w:lineRule="auto"/>
      </w:pPr>
      <w:r>
        <w:t>(a) Blocks receptor activation, producing the opposite cellular effect</w:t>
      </w:r>
    </w:p>
    <w:p>
      <w:pPr>
        <w:spacing w:after="200" w:line="276" w:lineRule="auto"/>
      </w:pPr>
      <w:r>
        <w:t>(b) Activates the receptor</w:t>
      </w:r>
    </w:p>
    <w:p>
      <w:pPr>
        <w:spacing w:after="200" w:line="276" w:lineRule="auto"/>
      </w:pPr>
      <w:r>
        <w:t>(c) Has no effect</w:t>
      </w:r>
    </w:p>
    <w:p>
      <w:pPr>
        <w:spacing w:after="200" w:line="276" w:lineRule="auto"/>
      </w:pPr>
      <w:r>
        <w:t>(d) Increases the ligand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Blocks receptor activation, producing the opposite cellular effect</w:t>
      </w:r>
    </w:p>
    <w:p>
      <w:pPr>
        <w:spacing w:after="200" w:line="276" w:lineRule="auto"/>
      </w:pPr>
      <w:r>
        <w:t>🧠 Clinical Rationale: Antagonists occupy receptors without activation — e.g., naloxone at opioid receptors.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Receptors - Agonist vs Antagonist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Blocks receptor activation, producing the opposite cellular effect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Activates the receptor — correct in another context, but not for this patient/drug link</w:t>
      </w:r>
    </w:p>
    <w:p>
      <w:pPr>
        <w:spacing w:after="200" w:line="276" w:lineRule="auto"/>
      </w:pPr>
      <w:r>
        <w:t>C. Has no effect — correct in another context, but not for this patient/drug link</w:t>
      </w:r>
    </w:p>
    <w:p>
      <w:pPr>
        <w:spacing w:after="200" w:line="276" w:lineRule="auto"/>
      </w:pPr>
      <w:r>
        <w:t>D. Increases the ligand — correct in another context, but not for this patient/drug link</w:t>
      </w:r>
    </w:p>
    <w:p>
      <w:pPr>
        <w:spacing w:after="200" w:line="276" w:lineRule="auto"/>
      </w:pPr>
      <w:r>
        <w:t>⚠️ Exam Trap: Opioid overdose: respiratory depression + pinpoint pupils → naloxone; the antidote pairing is a classic question.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Naloxone (Narcan) reverses opioid overdose — respiratory depression with pinpoint pupils is the clue.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Opioid overdose</w:t>
      </w:r>
    </w:p>
    <w:p>
      <w:pPr>
        <w:spacing w:after="200" w:line="276" w:lineRule="auto"/>
      </w:pPr>
      <w:r>
        <w:t>→ Clues: respiratory depression, pinpoint pupils, coma, hypothermia</w:t>
      </w:r>
    </w:p>
    <w:p>
      <w:pPr>
        <w:spacing w:after="200" w:line="276" w:lineRule="auto"/>
      </w:pPr>
      <w:r>
        <w:t>→ Treatment: naloxone IV/IM (repeat as needed), airway support</w:t>
      </w:r>
    </w:p>
    <w:p>
      <w:pPr>
        <w:spacing w:after="200" w:line="276" w:lineRule="auto"/>
      </w:pPr>
      <w:r>
        <w:t>→ Watch: naloxone wears off faster than the opioid — observe for re-sedation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oral antihypertensives in pregnancy include</w:t>
      </w:r>
    </w:p>
    <w:p>
      <w:pPr>
        <w:spacing w:after="200" w:line="276" w:lineRule="auto"/>
      </w:pPr>
      <w:r>
        <w:t>(a) ACE inhibitors</w:t>
      </w:r>
    </w:p>
    <w:p>
      <w:pPr>
        <w:spacing w:after="200" w:line="276" w:lineRule="auto"/>
      </w:pPr>
      <w:r>
        <w:t>(b) ARBs</w:t>
      </w:r>
    </w:p>
    <w:p>
      <w:pPr>
        <w:spacing w:after="200" w:line="276" w:lineRule="auto"/>
      </w:pPr>
      <w:r>
        <w:t>(c) Statins</w:t>
      </w:r>
    </w:p>
    <w:p>
      <w:pPr>
        <w:spacing w:after="200" w:line="276" w:lineRule="auto"/>
      </w:pPr>
      <w:r>
        <w:t>(d) Labetalol, nifedipine or methyldopa (avoid ACE/ARBs)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Labetalol, nifedipine or methyldopa (avoid ACE/ARBs)</w:t>
      </w:r>
    </w:p>
    <w:p>
      <w:pPr>
        <w:spacing w:after="200" w:line="276" w:lineRule="auto"/>
      </w:pPr>
      <w:r>
        <w:t>🧠 Clinical Rationale: ACE inhibitors/ARBs are teratogenic — use labetalol/nifedipine/methyldopa.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Pregnancy - Antihypertensive Choice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Labetalol, nifedipine or methyldopa (avoid ACE/ARBs)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ACE inhibitors — correct in another context, but not for this patient/drug link</w:t>
      </w:r>
    </w:p>
    <w:p>
      <w:pPr>
        <w:spacing w:after="200" w:line="276" w:lineRule="auto"/>
      </w:pPr>
      <w:r>
        <w:t>B. ARBs — correct in another context, but not for this patient/drug link</w:t>
      </w:r>
    </w:p>
    <w:p>
      <w:pPr>
        <w:spacing w:after="200" w:line="276" w:lineRule="auto"/>
      </w:pPr>
      <w:r>
        <w:t>C. Statins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Oxytocin infusion for induction is</w:t>
      </w:r>
    </w:p>
    <w:p>
      <w:pPr>
        <w:spacing w:after="200" w:line="276" w:lineRule="auto"/>
      </w:pPr>
      <w:r>
        <w:t>(a) Given as a rapid bolus</w:t>
      </w:r>
    </w:p>
    <w:p>
      <w:pPr>
        <w:spacing w:after="200" w:line="276" w:lineRule="auto"/>
      </w:pPr>
      <w:r>
        <w:t>(b) Oral</w:t>
      </w:r>
    </w:p>
    <w:p>
      <w:pPr>
        <w:spacing w:after="200" w:line="276" w:lineRule="auto"/>
      </w:pPr>
      <w:r>
        <w:t>(c) Titrated in low doses (e.g., 2-4 mU/min) with fetal monitoring</w:t>
      </w:r>
    </w:p>
    <w:p>
      <w:pPr>
        <w:spacing w:after="200" w:line="276" w:lineRule="auto"/>
      </w:pPr>
      <w:r>
        <w:t>(d) Fixed at maximum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Titrated in low doses (e.g., 2-4 mU/min) with fetal monitoring</w:t>
      </w:r>
    </w:p>
    <w:p>
      <w:pPr>
        <w:spacing w:after="200" w:line="276" w:lineRule="auto"/>
      </w:pPr>
      <w:r>
        <w:t>🧠 Clinical Rationale: Low-dose titration with monitoring minimises hyperstimulation; stop if abnormal FHR.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Labour - Oxytocin Dose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Titrated in low doses (e.g., 2-4 mU/min) with fetal monitoring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Given as a rapid bolus — correct in another context, but not for this patient/drug link</w:t>
      </w:r>
    </w:p>
    <w:p>
      <w:pPr>
        <w:spacing w:after="200" w:line="276" w:lineRule="auto"/>
      </w:pPr>
      <w:r>
        <w:t>B. Oral — correct in another context, but not for this patient/drug link</w:t>
      </w:r>
    </w:p>
    <w:p>
      <w:pPr>
        <w:spacing w:after="200" w:line="276" w:lineRule="auto"/>
      </w:pPr>
      <w:r>
        <w:t>D. Fixed at maximum — correct in another context, but not for this patient/drug link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Ibuprofen is used postpartum for pain because it</w:t>
      </w:r>
    </w:p>
    <w:p>
      <w:pPr>
        <w:spacing w:after="200" w:line="276" w:lineRule="auto"/>
      </w:pPr>
      <w:r>
        <w:t>(a) Is contraindicated in lactation</w:t>
      </w:r>
    </w:p>
    <w:p>
      <w:pPr>
        <w:spacing w:after="200" w:line="276" w:lineRule="auto"/>
      </w:pPr>
      <w:r>
        <w:t>(b) Reduces milk</w:t>
      </w:r>
    </w:p>
    <w:p>
      <w:pPr>
        <w:spacing w:after="200" w:line="276" w:lineRule="auto"/>
      </w:pPr>
      <w:r>
        <w:t>(c) Is an opioid</w:t>
      </w:r>
    </w:p>
    <w:p>
      <w:pPr>
        <w:spacing w:after="200" w:line="276" w:lineRule="auto"/>
      </w:pPr>
      <w:r>
        <w:t>(d) Is effective and safe for breastfeeding (with paracetamol as alternative)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Is effective and safe for breastfeeding (with paracetamol as alternative)</w:t>
      </w:r>
    </w:p>
    <w:p>
      <w:pPr>
        <w:spacing w:after="200" w:line="276" w:lineRule="auto"/>
      </w:pPr>
      <w:r>
        <w:t>🧠 Clinical Rationale: NSAIDs are compatible with breastfeeding and provide good perineal pain relief.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- NSAID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Is effective and safe for breastfeeding (with paracetamol as alternative)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contraindicated in lactation — correct in another context, but not for this patient/drug link</w:t>
      </w:r>
    </w:p>
    <w:p>
      <w:pPr>
        <w:spacing w:after="200" w:line="276" w:lineRule="auto"/>
      </w:pPr>
      <w:r>
        <w:t>B. Reduces milk — correct in another context, but not for this patient/drug link</w:t>
      </w:r>
    </w:p>
    <w:p>
      <w:pPr>
        <w:spacing w:after="200" w:line="276" w:lineRule="auto"/>
      </w:pPr>
      <w:r>
        <w:t>C. Is an opioid — correct in another context, but not for this patient/drug link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some dehydration is rehydrated with</w:t>
      </w:r>
    </w:p>
    <w:p>
      <w:pPr>
        <w:spacing w:after="200" w:line="276" w:lineRule="auto"/>
      </w:pPr>
      <w:r>
        <w:t>(a) IV fluids for all</w:t>
      </w:r>
    </w:p>
    <w:p>
      <w:pPr>
        <w:spacing w:after="200" w:line="276" w:lineRule="auto"/>
      </w:pPr>
      <w:r>
        <w:t>(b) Plain water</w:t>
      </w:r>
    </w:p>
    <w:p>
      <w:pPr>
        <w:spacing w:after="200" w:line="276" w:lineRule="auto"/>
      </w:pPr>
      <w:r>
        <w:t>(c) No fluids</w:t>
      </w:r>
    </w:p>
    <w:p>
      <w:pPr>
        <w:spacing w:after="200" w:line="276" w:lineRule="auto"/>
      </w:pPr>
      <w:r>
        <w:t>(d) ORS (75 mL/kg over 4 hours) with reassessment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ORS (75 mL/kg over 4 hours) with reassessment</w:t>
      </w:r>
    </w:p>
    <w:p>
      <w:pPr>
        <w:spacing w:after="200" w:line="276" w:lineRule="auto"/>
      </w:pPr>
      <w:r>
        <w:t>🧠 Clinical Rationale: Plan B ORS replaces deficits; give in small frequent sips with continued feeding.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Rehydration Route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ORS (75 mL/kg over 4 hours) with reassessment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fluids for all — correct in another context, but not for this patient/drug link</w:t>
      </w:r>
    </w:p>
    <w:p>
      <w:pPr>
        <w:spacing w:after="200" w:line="276" w:lineRule="auto"/>
      </w:pPr>
      <w:r>
        <w:t>B. Plain water — correct in another context, but not for this patient/drug link</w:t>
      </w:r>
    </w:p>
    <w:p>
      <w:pPr>
        <w:spacing w:after="200" w:line="276" w:lineRule="auto"/>
      </w:pPr>
      <w:r>
        <w:t>C. No fluids — correct in another context, but not for this patient/drug link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antipyretic for a febrile child is</w:t>
      </w:r>
    </w:p>
    <w:p>
      <w:pPr>
        <w:spacing w:after="200" w:line="276" w:lineRule="auto"/>
      </w:pPr>
      <w:r>
        <w:t>(a) Paracetamol (10-15 mg/kg) with ibuprofen as alternative (do not routinely combine)</w:t>
      </w:r>
    </w:p>
    <w:p>
      <w:pPr>
        <w:spacing w:after="200" w:line="276" w:lineRule="auto"/>
      </w:pPr>
      <w:r>
        <w:t>(b) Aspirin</w:t>
      </w:r>
    </w:p>
    <w:p>
      <w:pPr>
        <w:spacing w:after="200" w:line="276" w:lineRule="auto"/>
      </w:pPr>
      <w:r>
        <w:t>(c) Diclofenac</w:t>
      </w:r>
    </w:p>
    <w:p>
      <w:pPr>
        <w:spacing w:after="200" w:line="276" w:lineRule="auto"/>
      </w:pPr>
      <w:r>
        <w:t>(d) Opioids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Paracetamol (10-15 mg/kg) with ibuprofen as alternative (do not routinely combine)</w:t>
      </w:r>
    </w:p>
    <w:p>
      <w:pPr>
        <w:spacing w:after="200" w:line="276" w:lineRule="auto"/>
      </w:pPr>
      <w:r>
        <w:t>🧠 Clinical Rationale: Paracetamol is first-line; avoid aspirin in children (Reye's syndrome).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Antipyretic Choice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Paracetamol (10-15 mg/kg) with ibuprofen as alternative (do not routinely combine)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Aspirin — correct in another context, but not for this patient/drug link</w:t>
      </w:r>
    </w:p>
    <w:p>
      <w:pPr>
        <w:spacing w:after="200" w:line="276" w:lineRule="auto"/>
      </w:pPr>
      <w:r>
        <w:t>C. Diclofenac — correct in another context, but not for this patient/drug link</w:t>
      </w:r>
    </w:p>
    <w:p>
      <w:pPr>
        <w:spacing w:after="200" w:line="276" w:lineRule="auto"/>
      </w:pPr>
      <w:r>
        <w:t>D. Opioids — correct in another context, but not for this patient/drug link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Vitamin K is given to newborns at birth to</w:t>
      </w:r>
    </w:p>
    <w:p>
      <w:pPr>
        <w:spacing w:after="200" w:line="276" w:lineRule="auto"/>
      </w:pPr>
      <w:r>
        <w:t>(a) Treat jaundice</w:t>
      </w:r>
    </w:p>
    <w:p>
      <w:pPr>
        <w:spacing w:after="200" w:line="276" w:lineRule="auto"/>
      </w:pPr>
      <w:r>
        <w:t>(b) Prevent haemorrhagic disease of the newborn</w:t>
      </w:r>
    </w:p>
    <w:p>
      <w:pPr>
        <w:spacing w:after="200" w:line="276" w:lineRule="auto"/>
      </w:pPr>
      <w:r>
        <w:t>(c) Promote growth</w:t>
      </w:r>
    </w:p>
    <w:p>
      <w:pPr>
        <w:spacing w:after="200" w:line="276" w:lineRule="auto"/>
      </w:pPr>
      <w:r>
        <w:t>(d) Prevent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haemorrhagic disease of the newborn</w:t>
      </w:r>
    </w:p>
    <w:p>
      <w:pPr>
        <w:spacing w:after="200" w:line="276" w:lineRule="auto"/>
      </w:pPr>
      <w:r>
        <w:t>🧠 Clinical Rationale: IM vitamin K 1 mg prevents vitamin-K-dependent bleeding.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- Vitamin 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Prevent haemorrhagic disease of the newborn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 jaundice — correct in another context, but not for this patient/drug link</w:t>
      </w:r>
    </w:p>
    <w:p>
      <w:pPr>
        <w:spacing w:after="200" w:line="276" w:lineRule="auto"/>
      </w:pPr>
      <w:r>
        <w:t>C. Promote growth — correct in another context, but not for this patient/drug link</w:t>
      </w:r>
    </w:p>
    <w:p>
      <w:pPr>
        <w:spacing w:after="200" w:line="276" w:lineRule="auto"/>
      </w:pPr>
      <w:r>
        <w:t>D. Prevent infection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Uncomplicated falciparum malaria in India is treated with</w:t>
      </w:r>
    </w:p>
    <w:p>
      <w:pPr>
        <w:spacing w:after="200" w:line="276" w:lineRule="auto"/>
      </w:pPr>
      <w:r>
        <w:t>(a) Chloroquine only</w:t>
      </w:r>
    </w:p>
    <w:p>
      <w:pPr>
        <w:spacing w:after="200" w:line="276" w:lineRule="auto"/>
      </w:pPr>
      <w:r>
        <w:t>(b) Quinine only</w:t>
      </w:r>
    </w:p>
    <w:p>
      <w:pPr>
        <w:spacing w:after="200" w:line="276" w:lineRule="auto"/>
      </w:pPr>
      <w:r>
        <w:t>(c) Artemisinin-based combination therapy (ACT, e.g., artemether-lumefantrine)</w:t>
      </w:r>
    </w:p>
    <w:p>
      <w:pPr>
        <w:spacing w:after="200" w:line="276" w:lineRule="auto"/>
      </w:pPr>
      <w:r>
        <w:t>(d) Metronidazole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Artemisinin-based combination therapy (ACT, e.g., artemether-lumefantrine)</w:t>
      </w:r>
    </w:p>
    <w:p>
      <w:pPr>
        <w:spacing w:after="200" w:line="276" w:lineRule="auto"/>
      </w:pPr>
      <w:r>
        <w:t>🧠 Clinical Rationale: ACT is first-line for falciparum; chloroquine for vivax plus primaquine radical cure.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Malaria - Treatment Policy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Artemisinin-based combination therapy (ACT, e.g., artemether-lumefantrine)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Chloroquine only — correct in another context, but not for this patient/drug link</w:t>
      </w:r>
    </w:p>
    <w:p>
      <w:pPr>
        <w:spacing w:after="200" w:line="276" w:lineRule="auto"/>
      </w:pPr>
      <w:r>
        <w:t>B. Quinine only — correct in another context, but not for this patient/drug link</w:t>
      </w:r>
    </w:p>
    <w:p>
      <w:pPr>
        <w:spacing w:after="200" w:line="276" w:lineRule="auto"/>
      </w:pPr>
      <w:r>
        <w:t>D. Metronidazole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Visceral leishmaniasis (kala-azar) is treated with</w:t>
      </w:r>
    </w:p>
    <w:p>
      <w:pPr>
        <w:spacing w:after="200" w:line="276" w:lineRule="auto"/>
      </w:pPr>
      <w:r>
        <w:t>(a) Chloroquine</w:t>
      </w:r>
    </w:p>
    <w:p>
      <w:pPr>
        <w:spacing w:after="200" w:line="276" w:lineRule="auto"/>
      </w:pPr>
      <w:r>
        <w:t>(b) Metronidazole</w:t>
      </w:r>
    </w:p>
    <w:p>
      <w:pPr>
        <w:spacing w:after="200" w:line="276" w:lineRule="auto"/>
      </w:pPr>
      <w:r>
        <w:t>(c) Liposomal amphotericin B (first-line in India)</w:t>
      </w:r>
    </w:p>
    <w:p>
      <w:pPr>
        <w:spacing w:after="200" w:line="276" w:lineRule="auto"/>
      </w:pPr>
      <w:r>
        <w:t>(d) Albendazole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Liposomal amphotericin B (first-line in India)</w:t>
      </w:r>
    </w:p>
    <w:p>
      <w:pPr>
        <w:spacing w:after="200" w:line="276" w:lineRule="auto"/>
      </w:pPr>
      <w:r>
        <w:t>🧠 Clinical Rationale: Liposomal amphotericin B is the preferred single-dose therapy in the elimination programme.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Kala-azar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Liposomal amphotericin B (first-line in India)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Chloroquine — correct in another context, but not for this patient/drug link</w:t>
      </w:r>
    </w:p>
    <w:p>
      <w:pPr>
        <w:spacing w:after="200" w:line="276" w:lineRule="auto"/>
      </w:pPr>
      <w:r>
        <w:t>B. Metronidazole — correct in another context, but not for this patient/drug link</w:t>
      </w:r>
    </w:p>
    <w:p>
      <w:pPr>
        <w:spacing w:after="200" w:line="276" w:lineRule="auto"/>
      </w:pPr>
      <w:r>
        <w:t>D. Albendazole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Serotonin syndrome from SSRIs plus linezolid/MAOIs presents with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Agitation, hyperthermia, clonus and autonomic instability</w:t>
      </w:r>
    </w:p>
    <w:p>
      <w:pPr>
        <w:spacing w:after="200" w:line="276" w:lineRule="auto"/>
      </w:pPr>
      <w:r>
        <w:t>(c) Hypothermia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Agitation, hyperthermia, clonus and autonomic instability</w:t>
      </w:r>
    </w:p>
    <w:p>
      <w:pPr>
        <w:spacing w:after="200" w:line="276" w:lineRule="auto"/>
      </w:pPr>
      <w:r>
        <w:t>🧠 Clinical Rationale: Serotonin excess is an emergency — stop serotonergic drugs and support (cyproheptadine).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SSRI - Serotonin Syndrome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Agitation, hyperthermia, clonus and autonomic instability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correct in another context, but not for this patient/drug link</w:t>
      </w:r>
    </w:p>
    <w:p>
      <w:pPr>
        <w:spacing w:after="200" w:line="276" w:lineRule="auto"/>
      </w:pPr>
      <w:r>
        <w:t>C. Hypothermia — correct in another context, but not for this patient/drug link</w:t>
      </w:r>
    </w:p>
    <w:p>
      <w:pPr>
        <w:spacing w:after="200" w:line="276" w:lineRule="auto"/>
      </w:pPr>
      <w:r>
        <w:t>D. Constipation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Second-generation antipsychotics require monitoring of</w:t>
      </w:r>
    </w:p>
    <w:p>
      <w:pPr>
        <w:spacing w:after="200" w:line="276" w:lineRule="auto"/>
      </w:pPr>
      <w:r>
        <w:t>(a) Only mood</w:t>
      </w:r>
    </w:p>
    <w:p>
      <w:pPr>
        <w:spacing w:after="200" w:line="276" w:lineRule="auto"/>
      </w:pPr>
      <w:r>
        <w:t>(b) Thyroid alone</w:t>
      </w:r>
    </w:p>
    <w:p>
      <w:pPr>
        <w:spacing w:after="200" w:line="276" w:lineRule="auto"/>
      </w:pPr>
      <w:r>
        <w:t>(c) Bone density only</w:t>
      </w:r>
    </w:p>
    <w:p>
      <w:pPr>
        <w:spacing w:after="200" w:line="276" w:lineRule="auto"/>
      </w:pPr>
      <w:r>
        <w:t>(d) Weight, glucose, lipids and prolactin (metabolic syndrome)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Weight, glucose, lipids and prolactin (metabolic syndrome)</w:t>
      </w:r>
    </w:p>
    <w:p>
      <w:pPr>
        <w:spacing w:after="200" w:line="276" w:lineRule="auto"/>
      </w:pPr>
      <w:r>
        <w:t>🧠 Clinical Rationale: Monitor metabolic parameters regularly; educate on diet and activity.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Antipsychotic - Metabolic Monitoring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Weight, glucose, lipids and prolactin (metabolic syndrome)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mood — correct in another context, but not for this patient/drug link</w:t>
      </w:r>
    </w:p>
    <w:p>
      <w:pPr>
        <w:spacing w:after="200" w:line="276" w:lineRule="auto"/>
      </w:pPr>
      <w:r>
        <w:t>B. Thyroid alone — correct in another context, but not for this patient/drug link</w:t>
      </w:r>
    </w:p>
    <w:p>
      <w:pPr>
        <w:spacing w:after="200" w:line="276" w:lineRule="auto"/>
      </w:pPr>
      <w:r>
        <w:t>C. Bone density only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meta-analysis combines</w:t>
      </w:r>
    </w:p>
    <w:p>
      <w:pPr>
        <w:spacing w:after="200" w:line="276" w:lineRule="auto"/>
      </w:pPr>
      <w:r>
        <w:t>(a) Expert opinions</w:t>
      </w:r>
    </w:p>
    <w:p>
      <w:pPr>
        <w:spacing w:after="200" w:line="276" w:lineRule="auto"/>
      </w:pPr>
      <w:r>
        <w:t>(b) Results of multiple studies statistically for pooled effect estimates</w:t>
      </w:r>
    </w:p>
    <w:p>
      <w:pPr>
        <w:spacing w:after="200" w:line="276" w:lineRule="auto"/>
      </w:pPr>
      <w:r>
        <w:t>(c) Single case reports</w:t>
      </w:r>
    </w:p>
    <w:p>
      <w:pPr>
        <w:spacing w:after="200" w:line="276" w:lineRule="auto"/>
      </w:pPr>
      <w:r>
        <w:t>(d) Only animal data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Results of multiple studies statistically for pooled effect estimates</w:t>
      </w:r>
    </w:p>
    <w:p>
      <w:pPr>
        <w:spacing w:after="200" w:line="276" w:lineRule="auto"/>
      </w:pPr>
      <w:r>
        <w:t>🧠 Clinical Rationale: Meta-analyses pool RCTs for higher power and precision; quality depends on included studies.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Evidence - Meta-analysis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Results of multiple studies statistically for pooled effect estimates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Expert opinions — correct in another context, but not for this patient/drug link</w:t>
      </w:r>
    </w:p>
    <w:p>
      <w:pPr>
        <w:spacing w:after="200" w:line="276" w:lineRule="auto"/>
      </w:pPr>
      <w:r>
        <w:t>C. Single case reports — correct in another context, but not for this patient/drug link</w:t>
      </w:r>
    </w:p>
    <w:p>
      <w:pPr>
        <w:spacing w:after="200" w:line="276" w:lineRule="auto"/>
      </w:pPr>
      <w:r>
        <w:t>D. Only animal data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heparin/insulin errors, the unit should use</w:t>
      </w:r>
    </w:p>
    <w:p>
      <w:pPr>
        <w:spacing w:after="200" w:line="276" w:lineRule="auto"/>
      </w:pPr>
      <w:r>
        <w:t>(a) Verbal dosing</w:t>
      </w:r>
    </w:p>
    <w:p>
      <w:pPr>
        <w:spacing w:after="200" w:line="276" w:lineRule="auto"/>
      </w:pPr>
      <w:r>
        <w:t>(b) Written only without checks</w:t>
      </w:r>
    </w:p>
    <w:p>
      <w:pPr>
        <w:spacing w:after="200" w:line="276" w:lineRule="auto"/>
      </w:pPr>
      <w:r>
        <w:t>(c) Standardised order sets, smart pumps and independent double-checks</w:t>
      </w:r>
    </w:p>
    <w:p>
      <w:pPr>
        <w:spacing w:after="200" w:line="276" w:lineRule="auto"/>
      </w:pPr>
      <w:r>
        <w:t>(d) Memory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Standardised order sets, smart pumps and independent double-checks</w:t>
      </w:r>
    </w:p>
    <w:p>
      <w:pPr>
        <w:spacing w:after="200" w:line="276" w:lineRule="auto"/>
      </w:pPr>
      <w:r>
        <w:t>🧠 Clinical Rationale: Standardisation and technology reduce high-alert medication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Anticoagulation - Safe Practice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Standardised order sets, smart pumps and independent double-checks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Verbal dosing — correct in another context, but not for this patient/drug link</w:t>
      </w:r>
    </w:p>
    <w:p>
      <w:pPr>
        <w:spacing w:after="200" w:line="276" w:lineRule="auto"/>
      </w:pPr>
      <w:r>
        <w:t>B. Written only without checks — correct in another context, but not for this patient/drug link</w:t>
      </w:r>
    </w:p>
    <w:p>
      <w:pPr>
        <w:spacing w:after="200" w:line="276" w:lineRule="auto"/>
      </w:pPr>
      <w:r>
        <w:t>D. Memory — correct in another context, but not for this patient/drug link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teaching MDI use, the nurse verifies learning by</w:t>
      </w:r>
    </w:p>
    <w:p>
      <w:pPr>
        <w:spacing w:after="200" w:line="276" w:lineRule="auto"/>
      </w:pPr>
      <w:r>
        <w:t>(a) Only verbal agreement</w:t>
      </w:r>
    </w:p>
    <w:p>
      <w:pPr>
        <w:spacing w:after="200" w:line="276" w:lineRule="auto"/>
      </w:pPr>
      <w:r>
        <w:t>(b) A written test</w:t>
      </w:r>
    </w:p>
    <w:p>
      <w:pPr>
        <w:spacing w:after="200" w:line="276" w:lineRule="auto"/>
      </w:pPr>
      <w:r>
        <w:t>(c) Watching once</w:t>
      </w:r>
    </w:p>
    <w:p>
      <w:pPr>
        <w:spacing w:after="200" w:line="276" w:lineRule="auto"/>
      </w:pPr>
      <w:r>
        <w:t>(d) Return demonstration and checking coordination/technique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Return demonstration and checking coordination/technique</w:t>
      </w:r>
    </w:p>
    <w:p>
      <w:pPr>
        <w:spacing w:after="200" w:line="276" w:lineRule="auto"/>
      </w:pPr>
      <w:r>
        <w:t>🧠 Clinical Rationale: Return demonstration confirms proper technique — poor technique wastes medication.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Asthma - Inhaler Teaching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Return demonstration and checking coordination/technique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verbal agreement — correct in another context, but not for this patient/drug link</w:t>
      </w:r>
    </w:p>
    <w:p>
      <w:pPr>
        <w:spacing w:after="200" w:line="276" w:lineRule="auto"/>
      </w:pPr>
      <w:r>
        <w:t>B. A written test — correct in another context, but not for this patient/drug link</w:t>
      </w:r>
    </w:p>
    <w:p>
      <w:pPr>
        <w:spacing w:after="200" w:line="276" w:lineRule="auto"/>
      </w:pPr>
      <w:r>
        <w:t>C. Watching once — correct in another context, but not for this patient/drug link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HLA-B*1502 screening before carbamazepine prevents</w:t>
      </w:r>
    </w:p>
    <w:p>
      <w:pPr>
        <w:spacing w:after="200" w:line="276" w:lineRule="auto"/>
      </w:pPr>
      <w:r>
        <w:t>(a) Severe cutaneous reactions (Stevens-Johnson syndrome) in at-risk populations</w:t>
      </w:r>
    </w:p>
    <w:p>
      <w:pPr>
        <w:spacing w:after="200" w:line="276" w:lineRule="auto"/>
      </w:pPr>
      <w:r>
        <w:t>(b) Hepatitis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Diabetes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cutaneous reactions (Stevens-Johnson syndrome) in at-risk populations</w:t>
      </w:r>
    </w:p>
    <w:p>
      <w:pPr>
        <w:spacing w:after="200" w:line="276" w:lineRule="auto"/>
      </w:pPr>
      <w:r>
        <w:t>🧠 Clinical Rationale: Asian populations carry HLA-B*1502 — screen before carbamazepine to prevent SJS/TEN.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HLA - Drug Hypersensitivity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Severe cutaneous reactions (Stevens-Johnson syndrome) in at-risk populations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Hepatitis — correct in another context, but not for this patient/drug link</w:t>
      </w:r>
    </w:p>
    <w:p>
      <w:pPr>
        <w:spacing w:after="200" w:line="276" w:lineRule="auto"/>
      </w:pPr>
      <w:r>
        <w:t>C. Anaemia — correct in another context, but not for this patient/drug link</w:t>
      </w:r>
    </w:p>
    <w:p>
      <w:pPr>
        <w:spacing w:after="200" w:line="276" w:lineRule="auto"/>
      </w:pPr>
      <w:r>
        <w:t>D. Diabetes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suspected poisoning, the nurse preserves</w:t>
      </w:r>
    </w:p>
    <w:p>
      <w:pPr>
        <w:spacing w:after="200" w:line="276" w:lineRule="auto"/>
      </w:pPr>
      <w:r>
        <w:t>(a) Blood, urine and gastric contents with chain of custody</w:t>
      </w:r>
    </w:p>
    <w:p>
      <w:pPr>
        <w:spacing w:after="200" w:line="276" w:lineRule="auto"/>
      </w:pPr>
      <w:r>
        <w:t>(b) Only the empty bottle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Hair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Blood, urine and gastric contents with chain of custody</w:t>
      </w:r>
    </w:p>
    <w:p>
      <w:pPr>
        <w:spacing w:after="200" w:line="276" w:lineRule="auto"/>
      </w:pPr>
      <w:r>
        <w:t>🧠 Clinical Rationale: Toxicology specimens and custody documentation support diagnosis and medicolegal review.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Poisoning - Toxicology Samples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Blood, urine and gastric contents with chain of custody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empty bottle — correct in another context, but not for this patient/drug link</w:t>
      </w:r>
    </w:p>
    <w:p>
      <w:pPr>
        <w:spacing w:after="200" w:line="276" w:lineRule="auto"/>
      </w:pPr>
      <w:r>
        <w:t>C. Nothing — correct in another context, but not for this patient/drug link</w:t>
      </w:r>
    </w:p>
    <w:p>
      <w:pPr>
        <w:spacing w:after="200" w:line="276" w:lineRule="auto"/>
      </w:pPr>
      <w:r>
        <w:t>D. Hair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