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Pharmacotherapy for ADHD uses</w:t>
      </w:r>
    </w:p>
    <w:p>
      <w:pPr>
        <w:spacing w:after="200" w:line="276" w:lineRule="auto"/>
      </w:pPr>
      <w:r>
        <w:t>(a) Antidepressants only</w:t>
      </w:r>
    </w:p>
    <w:p>
      <w:pPr>
        <w:spacing w:after="200" w:line="276" w:lineRule="auto"/>
      </w:pPr>
      <w:r>
        <w:t>(b) Methylphenidate (stimulant) with behavioural therapy</w:t>
      </w:r>
    </w:p>
    <w:p>
      <w:pPr>
        <w:spacing w:after="200" w:line="276" w:lineRule="auto"/>
      </w:pPr>
      <w:r>
        <w:t>(c) Sedatives</w:t>
      </w:r>
    </w:p>
    <w:p>
      <w:pPr>
        <w:spacing w:after="200" w:line="276" w:lineRule="auto"/>
      </w:pPr>
      <w:r>
        <w:t>(d) Anticonvulsants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Methylphenidate (stimulant) with behavioural therapy</w:t>
      </w:r>
    </w:p>
    <w:p>
      <w:pPr>
        <w:spacing w:after="200" w:line="276" w:lineRule="auto"/>
      </w:pPr>
      <w:r>
        <w:t>🧠 Clinical Rationale: Stimulants are first-line for ADHD; monitor appetite, growth and BP.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ADHD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Methylphenidate (stimulant) with behavioural 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Antidepressants only — correct in another context, but not for this patient/drug link</w:t>
      </w:r>
    </w:p>
    <w:p>
      <w:pPr>
        <w:spacing w:after="200" w:line="276" w:lineRule="auto"/>
      </w:pPr>
      <w:r>
        <w:t>C. Sedatives — correct in another context, but not for this patient/drug link</w:t>
      </w:r>
    </w:p>
    <w:p>
      <w:pPr>
        <w:spacing w:after="200" w:line="276" w:lineRule="auto"/>
      </w:pPr>
      <w:r>
        <w:t>D. Anticonvulsants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symptomatic hypoglycaemic newborn is treated with</w:t>
      </w:r>
    </w:p>
    <w:p>
      <w:pPr>
        <w:spacing w:after="200" w:line="276" w:lineRule="auto"/>
      </w:pPr>
      <w:r>
        <w:t>(a) IV 10% dextrose bolus then infusion (2 mL/kg of D10)</w:t>
      </w:r>
    </w:p>
    <w:p>
      <w:pPr>
        <w:spacing w:after="200" w:line="276" w:lineRule="auto"/>
      </w:pPr>
      <w:r>
        <w:t>(b) Oral juice</w:t>
      </w:r>
    </w:p>
    <w:p>
      <w:pPr>
        <w:spacing w:after="200" w:line="276" w:lineRule="auto"/>
      </w:pPr>
      <w:r>
        <w:t>(c) D50 push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10% dextrose bolus then infusion (2 mL/kg of D10)</w:t>
      </w:r>
    </w:p>
    <w:p>
      <w:pPr>
        <w:spacing w:after="200" w:line="276" w:lineRule="auto"/>
      </w:pPr>
      <w:r>
        <w:t>🧠 Clinical Rationale: Neonates get D10 (not D50) to avoid hyperosmolality; then feeds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Hypoglycaemia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10% dextrose bolus then infusion (2 mL/kg of D10)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juice — correct in another context, but not for this patient/drug link</w:t>
      </w:r>
    </w:p>
    <w:p>
      <w:pPr>
        <w:spacing w:after="200" w:line="276" w:lineRule="auto"/>
      </w:pPr>
      <w:r>
        <w:t>C. D50 push — correct in another context, but not for this patient/drug link</w:t>
      </w:r>
    </w:p>
    <w:p>
      <w:pPr>
        <w:spacing w:after="200" w:line="276" w:lineRule="auto"/>
      </w:pPr>
      <w:r>
        <w:t>D. Insulin — correct in another context, but not for this patient/drug link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WHO, a child with two or more of restlessness, sunken eyes, thirsty, slow skin pinch has</w:t>
      </w:r>
    </w:p>
    <w:p>
      <w:pPr>
        <w:spacing w:after="200" w:line="276" w:lineRule="auto"/>
      </w:pPr>
      <w:r>
        <w:t>(a) No dehydration</w:t>
      </w:r>
    </w:p>
    <w:p>
      <w:pPr>
        <w:spacing w:after="200" w:line="276" w:lineRule="auto"/>
      </w:pPr>
      <w:r>
        <w:t>(b) Some dehydration (Plan B)</w:t>
      </w:r>
    </w:p>
    <w:p>
      <w:pPr>
        <w:spacing w:after="200" w:line="276" w:lineRule="auto"/>
      </w:pPr>
      <w:r>
        <w:t>(c) Severe dehydration</w:t>
      </w:r>
    </w:p>
    <w:p>
      <w:pPr>
        <w:spacing w:after="200" w:line="276" w:lineRule="auto"/>
      </w:pPr>
      <w:r>
        <w:t>(d) Overhydration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Some dehydration (Plan B)</w:t>
      </w:r>
    </w:p>
    <w:p>
      <w:pPr>
        <w:spacing w:after="200" w:line="276" w:lineRule="auto"/>
      </w:pPr>
      <w:r>
        <w:t>🧠 Clinical Rationale: Two+ signs = some dehydration → ORS under observation.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Dehydration Classification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Some dehydration (Plan B)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dehydration — correct in another context, but not for this patient/drug link</w:t>
      </w:r>
    </w:p>
    <w:p>
      <w:pPr>
        <w:spacing w:after="200" w:line="276" w:lineRule="auto"/>
      </w:pPr>
      <w:r>
        <w:t>C. Severe dehydration — correct in another context, but not for this patient/drug link</w:t>
      </w:r>
    </w:p>
    <w:p>
      <w:pPr>
        <w:spacing w:after="200" w:line="276" w:lineRule="auto"/>
      </w:pPr>
      <w:r>
        <w:t>D. Overhydration — correct in another context, but not for this patient/drug link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classifies a sick child by</w:t>
      </w:r>
    </w:p>
    <w:p>
      <w:pPr>
        <w:spacing w:after="200" w:line="276" w:lineRule="auto"/>
      </w:pPr>
      <w:r>
        <w:t>(a) Blood group</w:t>
      </w:r>
    </w:p>
    <w:p>
      <w:pPr>
        <w:spacing w:after="200" w:line="276" w:lineRule="auto"/>
      </w:pPr>
      <w:r>
        <w:t>(b) Weight only</w:t>
      </w:r>
    </w:p>
    <w:p>
      <w:pPr>
        <w:spacing w:after="200" w:line="276" w:lineRule="auto"/>
      </w:pPr>
      <w:r>
        <w:t>(c) Colour-coded severity (pink=severe, yellow=some, green=no problem)</w:t>
      </w:r>
    </w:p>
    <w:p>
      <w:pPr>
        <w:spacing w:after="200" w:line="276" w:lineRule="auto"/>
      </w:pPr>
      <w:r>
        <w:t>(d) Age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Colour-coded severity (pink=severe, yellow=some, green=no problem)</w:t>
      </w:r>
    </w:p>
    <w:p>
      <w:pPr>
        <w:spacing w:after="200" w:line="276" w:lineRule="auto"/>
      </w:pPr>
      <w:r>
        <w:t>🧠 Clinical Rationale: IMNCI colour coding guides urgent referral, treatment or home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IMNCI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Colour-coded severity (pink=severe, yellow=some, green=no problem)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group — correct in another context, but not for this patient/drug link</w:t>
      </w:r>
    </w:p>
    <w:p>
      <w:pPr>
        <w:spacing w:after="200" w:line="276" w:lineRule="auto"/>
      </w:pPr>
      <w:r>
        <w:t>B. Weight only — correct in another context, but not for this patient/drug link</w:t>
      </w:r>
    </w:p>
    <w:p>
      <w:pPr>
        <w:spacing w:after="200" w:line="276" w:lineRule="auto"/>
      </w:pPr>
      <w:r>
        <w:t>D. Age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true contraindication to vaccination is</w:t>
      </w:r>
    </w:p>
    <w:p>
      <w:pPr>
        <w:spacing w:after="200" w:line="276" w:lineRule="auto"/>
      </w:pPr>
      <w:r>
        <w:t>(a) Mild cold</w:t>
      </w:r>
    </w:p>
    <w:p>
      <w:pPr>
        <w:spacing w:after="200" w:line="276" w:lineRule="auto"/>
      </w:pPr>
      <w:r>
        <w:t>(b) Low-grade fever</w:t>
      </w:r>
    </w:p>
    <w:p>
      <w:pPr>
        <w:spacing w:after="200" w:line="276" w:lineRule="auto"/>
      </w:pPr>
      <w:r>
        <w:t>(c) Severe allergic reaction to a previous dose or vaccine component</w:t>
      </w:r>
    </w:p>
    <w:p>
      <w:pPr>
        <w:spacing w:after="200" w:line="276" w:lineRule="auto"/>
      </w:pPr>
      <w:r>
        <w:t>(d) Breastfeeding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allergic reaction to a previous dose or vaccine component</w:t>
      </w:r>
    </w:p>
    <w:p>
      <w:pPr>
        <w:spacing w:after="200" w:line="276" w:lineRule="auto"/>
      </w:pPr>
      <w:r>
        <w:t>🧠 Clinical Rationale: Only severe allergy is a true contraindication; minor illness is not.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Immunisation Contraindication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Severe allergic reaction to a previous dose or vaccine component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cold — correct in another context, but not for this patient/drug link</w:t>
      </w:r>
    </w:p>
    <w:p>
      <w:pPr>
        <w:spacing w:after="200" w:line="276" w:lineRule="auto"/>
      </w:pPr>
      <w:r>
        <w:t>B. Low-grade fever — correct in another context, but not for this patient/drug link</w:t>
      </w:r>
    </w:p>
    <w:p>
      <w:pPr>
        <w:spacing w:after="200" w:line="276" w:lineRule="auto"/>
      </w:pPr>
      <w:r>
        <w:t>D. Breastfeeding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vaccine exposed to room temperature for hours should be</w:t>
      </w:r>
    </w:p>
    <w:p>
      <w:pPr>
        <w:spacing w:after="200" w:line="276" w:lineRule="auto"/>
      </w:pPr>
      <w:r>
        <w:t>(a) Used immediately</w:t>
      </w:r>
    </w:p>
    <w:p>
      <w:pPr>
        <w:spacing w:after="200" w:line="276" w:lineRule="auto"/>
      </w:pPr>
      <w:r>
        <w:t>(b) Discarded (cold chain broken)</w:t>
      </w:r>
    </w:p>
    <w:p>
      <w:pPr>
        <w:spacing w:after="200" w:line="276" w:lineRule="auto"/>
      </w:pPr>
      <w:r>
        <w:t>(c) Refrozen</w:t>
      </w:r>
    </w:p>
    <w:p>
      <w:pPr>
        <w:spacing w:after="200" w:line="276" w:lineRule="auto"/>
      </w:pPr>
      <w:r>
        <w:t>(d) Mixed with others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Discarded (cold chain broken)</w:t>
      </w:r>
    </w:p>
    <w:p>
      <w:pPr>
        <w:spacing w:after="200" w:line="276" w:lineRule="auto"/>
      </w:pPr>
      <w:r>
        <w:t>🧠 Clinical Rationale: Never refreeze or use vaccines with breached cold chain — discard per protocol.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Vaccine Storage Error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Discarded (cold chain broken)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Used immediately — correct in another context, but not for this patient/drug link</w:t>
      </w:r>
    </w:p>
    <w:p>
      <w:pPr>
        <w:spacing w:after="200" w:line="276" w:lineRule="auto"/>
      </w:pPr>
      <w:r>
        <w:t>C. Refrozen — correct in another context, but not for this patient/drug link</w:t>
      </w:r>
    </w:p>
    <w:p>
      <w:pPr>
        <w:spacing w:after="200" w:line="276" w:lineRule="auto"/>
      </w:pPr>
      <w:r>
        <w:t>D. Mixed with others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otitis media with severe symptoms is treated with</w:t>
      </w:r>
    </w:p>
    <w:p>
      <w:pPr>
        <w:spacing w:after="200" w:line="276" w:lineRule="auto"/>
      </w:pPr>
      <w:r>
        <w:t>(a) High-dose amoxicillin (10 days)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Acyclovir</w:t>
      </w:r>
    </w:p>
    <w:p>
      <w:pPr>
        <w:spacing w:after="200" w:line="276" w:lineRule="auto"/>
      </w:pPr>
      <w:r>
        <w:t>(d) Antifungals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High-dose amoxicillin (10 days)</w:t>
      </w:r>
    </w:p>
    <w:p>
      <w:pPr>
        <w:spacing w:after="200" w:line="276" w:lineRule="auto"/>
      </w:pPr>
      <w:r>
        <w:t>🧠 Clinical Rationale: Amoxicillin covers common pathogens; watchful waiting for mild cases.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Child - Antibiotic for Otitis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High-dose amoxicillin (10 days)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Metronidazole — correct in another context, but not for this patient/drug link</w:t>
      </w:r>
    </w:p>
    <w:p>
      <w:pPr>
        <w:spacing w:after="200" w:line="276" w:lineRule="auto"/>
      </w:pPr>
      <w:r>
        <w:t>C. Acyclovir — correct in another context, but not for this patient/drug link</w:t>
      </w:r>
    </w:p>
    <w:p>
      <w:pPr>
        <w:spacing w:after="200" w:line="276" w:lineRule="auto"/>
      </w:pPr>
      <w:r>
        <w:t>D. Antifungals — correct in another context, but not for this patient/drug link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Iron-deficiency anaemia in a child is treated with</w:t>
      </w:r>
    </w:p>
    <w:p>
      <w:pPr>
        <w:spacing w:after="200" w:line="276" w:lineRule="auto"/>
      </w:pPr>
      <w:r>
        <w:t>(a) Vitamin B12</w:t>
      </w:r>
    </w:p>
    <w:p>
      <w:pPr>
        <w:spacing w:after="200" w:line="276" w:lineRule="auto"/>
      </w:pPr>
      <w:r>
        <w:t>(b) Folic acid only</w:t>
      </w:r>
    </w:p>
    <w:p>
      <w:pPr>
        <w:spacing w:after="200" w:line="276" w:lineRule="auto"/>
      </w:pPr>
      <w:r>
        <w:t>(c) Blood transfusion always</w:t>
      </w:r>
    </w:p>
    <w:p>
      <w:pPr>
        <w:spacing w:after="200" w:line="276" w:lineRule="auto"/>
      </w:pPr>
      <w:r>
        <w:t>(d) Oral iron (3-6 mg/kg/day elemental) for 3+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Oral iron (3-6 mg/kg/day elemental) for 3+ months</w:t>
      </w:r>
    </w:p>
    <w:p>
      <w:pPr>
        <w:spacing w:after="200" w:line="276" w:lineRule="auto"/>
      </w:pPr>
      <w:r>
        <w:t>🧠 Clinical Rationale: Oral iron plus dietary advice corrects deficiency; recheck Hb after treatment.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Iron Deficiency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Oral iron (3-6 mg/kg/day elemental) for 3+ months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B12 — correct in another context, but not for this patient/drug link</w:t>
      </w:r>
    </w:p>
    <w:p>
      <w:pPr>
        <w:spacing w:after="200" w:line="276" w:lineRule="auto"/>
      </w:pPr>
      <w:r>
        <w:t>B. Folic acid only — correct in another context, but not for this patient/drug link</w:t>
      </w:r>
    </w:p>
    <w:p>
      <w:pPr>
        <w:spacing w:after="200" w:line="276" w:lineRule="auto"/>
      </w:pPr>
      <w:r>
        <w:t>C. Blood transfusion always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Soil-transmitted helminthiasis in children is treated with</w:t>
      </w:r>
    </w:p>
    <w:p>
      <w:pPr>
        <w:spacing w:after="200" w:line="276" w:lineRule="auto"/>
      </w:pPr>
      <w:r>
        <w:t>(a) Chloroquine</w:t>
      </w:r>
    </w:p>
    <w:p>
      <w:pPr>
        <w:spacing w:after="200" w:line="276" w:lineRule="auto"/>
      </w:pPr>
      <w:r>
        <w:t>(b) Albendazole 400 mg (single dose, twice yearly in endemic areas)</w:t>
      </w:r>
    </w:p>
    <w:p>
      <w:pPr>
        <w:spacing w:after="200" w:line="276" w:lineRule="auto"/>
      </w:pPr>
      <w:r>
        <w:t>(c) Metronidazole</w:t>
      </w:r>
    </w:p>
    <w:p>
      <w:pPr>
        <w:spacing w:after="200" w:line="276" w:lineRule="auto"/>
      </w:pPr>
      <w:r>
        <w:t>(d) Acyclovir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Albendazole 400 mg (single dose, twice yearly in endemic areas)</w:t>
      </w:r>
    </w:p>
    <w:p>
      <w:pPr>
        <w:spacing w:after="200" w:line="276" w:lineRule="auto"/>
      </w:pPr>
      <w:r>
        <w:t>🧠 Clinical Rationale: Albendazole deworming reduces worm burden and improves nutrition.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Anthelminthic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Albendazole 400 mg (single dose, twice yearly in endemic areas)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Chloroquine — correct in another context, but not for this patient/drug link</w:t>
      </w:r>
    </w:p>
    <w:p>
      <w:pPr>
        <w:spacing w:after="200" w:line="276" w:lineRule="auto"/>
      </w:pPr>
      <w:r>
        <w:t>C. Metronidazole — correct in another context, but not for this patient/drug link</w:t>
      </w:r>
    </w:p>
    <w:p>
      <w:pPr>
        <w:spacing w:after="200" w:line="276" w:lineRule="auto"/>
      </w:pPr>
      <w:r>
        <w:t>D. Acyclovir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zinc course for childhood diarrhoea is</w:t>
      </w:r>
    </w:p>
    <w:p>
      <w:pPr>
        <w:spacing w:after="200" w:line="276" w:lineRule="auto"/>
      </w:pPr>
      <w:r>
        <w:t>(a) One dose</w:t>
      </w:r>
    </w:p>
    <w:p>
      <w:pPr>
        <w:spacing w:after="200" w:line="276" w:lineRule="auto"/>
      </w:pPr>
      <w:r>
        <w:t>(b) 1 mg daily for 1 day</w:t>
      </w:r>
    </w:p>
    <w:p>
      <w:pPr>
        <w:spacing w:after="200" w:line="276" w:lineRule="auto"/>
      </w:pPr>
      <w:r>
        <w:t>(c) 50 mg daily for 1 month</w:t>
      </w:r>
    </w:p>
    <w:p>
      <w:pPr>
        <w:spacing w:after="200" w:line="276" w:lineRule="auto"/>
      </w:pPr>
      <w:r>
        <w:t>(d) 10-20 mg daily for 10-14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10-20 mg daily for 10-14 days</w:t>
      </w:r>
    </w:p>
    <w:p>
      <w:pPr>
        <w:spacing w:after="200" w:line="276" w:lineRule="auto"/>
      </w:pPr>
      <w:r>
        <w:t>🧠 Clinical Rationale: Zinc supplementation shortens diarrhoea and prevents recurrence.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- Zinc in Diarrhoea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10-20 mg daily for 10-14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One dose — correct in another context, but not for this patient/drug link</w:t>
      </w:r>
    </w:p>
    <w:p>
      <w:pPr>
        <w:spacing w:after="200" w:line="276" w:lineRule="auto"/>
      </w:pPr>
      <w:r>
        <w:t>B. 1 mg daily for 1 day — correct in another context, but not for this patient/drug link</w:t>
      </w:r>
    </w:p>
    <w:p>
      <w:pPr>
        <w:spacing w:after="200" w:line="276" w:lineRule="auto"/>
      </w:pPr>
      <w:r>
        <w:t>C. 50 mg daily for 1 month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falciparum malaria in a child is treated with</w:t>
      </w:r>
    </w:p>
    <w:p>
      <w:pPr>
        <w:spacing w:after="200" w:line="276" w:lineRule="auto"/>
      </w:pPr>
      <w:r>
        <w:t>(a) Oral chloroquine</w:t>
      </w:r>
    </w:p>
    <w:p>
      <w:pPr>
        <w:spacing w:after="200" w:line="276" w:lineRule="auto"/>
      </w:pPr>
      <w:r>
        <w:t>(b) Quinine syrup only</w:t>
      </w:r>
    </w:p>
    <w:p>
      <w:pPr>
        <w:spacing w:after="200" w:line="276" w:lineRule="auto"/>
      </w:pPr>
      <w:r>
        <w:t>(c) IV artesunate (2.4 mg/kg) followed by oral ACT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artesunate (2.4 mg/kg) followed by oral ACT</w:t>
      </w:r>
    </w:p>
    <w:p>
      <w:pPr>
        <w:spacing w:after="200" w:line="276" w:lineRule="auto"/>
      </w:pPr>
      <w:r>
        <w:t>🧠 Clinical Rationale: Parenteral artesunate is first-line for severe malaria; then complete with oral ACT.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Child - Antimalarial in Severe Malaria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IV artesunate (2.4 mg/kg) followed by oral ACT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chloroquine — correct in another context, but not for this patient/drug link</w:t>
      </w:r>
    </w:p>
    <w:p>
      <w:pPr>
        <w:spacing w:after="200" w:line="276" w:lineRule="auto"/>
      </w:pPr>
      <w:r>
        <w:t>B. Quinine syrup only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Ophthalmic prophylaxis at birth prevents</w:t>
      </w:r>
    </w:p>
    <w:p>
      <w:pPr>
        <w:spacing w:after="200" w:line="276" w:lineRule="auto"/>
      </w:pPr>
      <w:r>
        <w:t>(a) Ophthalmia neonatorum (gonococcal/chlamydial conjunctivitis)</w:t>
      </w:r>
    </w:p>
    <w:p>
      <w:pPr>
        <w:spacing w:after="200" w:line="276" w:lineRule="auto"/>
      </w:pPr>
      <w:r>
        <w:t>(b) Cataracts</w:t>
      </w:r>
    </w:p>
    <w:p>
      <w:pPr>
        <w:spacing w:after="200" w:line="276" w:lineRule="auto"/>
      </w:pPr>
      <w:r>
        <w:t>(c) Glaucoma</w:t>
      </w:r>
    </w:p>
    <w:p>
      <w:pPr>
        <w:spacing w:after="200" w:line="276" w:lineRule="auto"/>
      </w:pPr>
      <w:r>
        <w:t>(d) Retinopathy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Ophthalmia neonatorum (gonococcal/chlamydial conjunctivitis)</w:t>
      </w:r>
    </w:p>
    <w:p>
      <w:pPr>
        <w:spacing w:after="200" w:line="276" w:lineRule="auto"/>
      </w:pPr>
      <w:r>
        <w:t>🧠 Clinical Rationale: Erythromycin/tetracycline eye ointment prevents neonatal conjunctivitis.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- Ophthalmic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Ophthalmia neonatorum (gonococcal/chlamydial conjunctivitis)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Cataracts — correct in another context, but not for this patient/drug link</w:t>
      </w:r>
    </w:p>
    <w:p>
      <w:pPr>
        <w:spacing w:after="200" w:line="276" w:lineRule="auto"/>
      </w:pPr>
      <w:r>
        <w:t>C. Glaucoma — correct in another context, but not for this patient/drug link</w:t>
      </w:r>
    </w:p>
    <w:p>
      <w:pPr>
        <w:spacing w:after="200" w:line="276" w:lineRule="auto"/>
      </w:pPr>
      <w:r>
        <w:t>D. Retinopathy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Refeeding syndrome is prevented by</w:t>
      </w:r>
    </w:p>
    <w:p>
      <w:pPr>
        <w:spacing w:after="200" w:line="276" w:lineRule="auto"/>
      </w:pPr>
      <w:r>
        <w:t>(a) Rapid high calories</w:t>
      </w:r>
    </w:p>
    <w:p>
      <w:pPr>
        <w:spacing w:after="200" w:line="276" w:lineRule="auto"/>
      </w:pPr>
      <w:r>
        <w:t>(b) No electrolytes</w:t>
      </w:r>
    </w:p>
    <w:p>
      <w:pPr>
        <w:spacing w:after="200" w:line="276" w:lineRule="auto"/>
      </w:pPr>
      <w:r>
        <w:t>(c) Water only</w:t>
      </w:r>
    </w:p>
    <w:p>
      <w:pPr>
        <w:spacing w:after="200" w:line="276" w:lineRule="auto"/>
      </w:pPr>
      <w:r>
        <w:t>(d) Slow caloric advancement, and monitoring/replacing potassium, phosphate and magnesium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Slow caloric advancement, and monitoring/replacing potassium, phosphate and magnesium</w:t>
      </w:r>
    </w:p>
    <w:p>
      <w:pPr>
        <w:spacing w:after="200" w:line="276" w:lineRule="auto"/>
      </w:pPr>
      <w:r>
        <w:t>🧠 Clinical Rationale: Refeeding causes dangerous hypophosphataemia — start low, advance slowly, replace electrolytes.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TPN - Refeeding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Slow caloric advancement, and monitoring/replacing potassium, phosphate and magnesium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high calories — correct in another context, but not for this patient/drug link</w:t>
      </w:r>
    </w:p>
    <w:p>
      <w:pPr>
        <w:spacing w:after="200" w:line="276" w:lineRule="auto"/>
      </w:pPr>
      <w:r>
        <w:t>B. No electrolytes — correct in another context, but not for this patient/drug link</w:t>
      </w:r>
    </w:p>
    <w:p>
      <w:pPr>
        <w:spacing w:after="200" w:line="276" w:lineRule="auto"/>
      </w:pPr>
      <w:r>
        <w:t>C. Water only — correct in another context, but not for this patient/drug link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High-osmolality enteral feeds can cause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Hyperglycaemia only</w:t>
      </w:r>
    </w:p>
    <w:p>
      <w:pPr>
        <w:spacing w:after="200" w:line="276" w:lineRule="auto"/>
      </w:pPr>
      <w:r>
        <w:t>(c) No effect</w:t>
      </w:r>
    </w:p>
    <w:p>
      <w:pPr>
        <w:spacing w:after="200" w:line="276" w:lineRule="auto"/>
      </w:pPr>
      <w:r>
        <w:t>(d) Diarrhoea and delayed gastric emptying — start with diluted/tolerance titration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Diarrhoea and delayed gastric emptying — start with diluted/tolerance titration</w:t>
      </w:r>
    </w:p>
    <w:p>
      <w:pPr>
        <w:spacing w:after="200" w:line="276" w:lineRule="auto"/>
      </w:pPr>
      <w:r>
        <w:t>🧠 Clinical Rationale: Gradually increase concentration/rate to build tolerance.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Enteral - Formula Osmolality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Diarrhoea and delayed gastric emptying — start with diluted/tolerance titration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correct in another context, but not for this patient/drug link</w:t>
      </w:r>
    </w:p>
    <w:p>
      <w:pPr>
        <w:spacing w:after="200" w:line="276" w:lineRule="auto"/>
      </w:pPr>
      <w:r>
        <w:t>B. Hyperglycaemia only — correct in another context, but not for this patient/drug link</w:t>
      </w:r>
    </w:p>
    <w:p>
      <w:pPr>
        <w:spacing w:after="200" w:line="276" w:lineRule="auto"/>
      </w:pPr>
      <w:r>
        <w:t>C. No effect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lipid emulsions provide</w:t>
      </w:r>
    </w:p>
    <w:p>
      <w:pPr>
        <w:spacing w:after="200" w:line="276" w:lineRule="auto"/>
      </w:pPr>
      <w:r>
        <w:t>(a) Essential fatty acids and calories (monitor for hypertriglyceridaemia)</w:t>
      </w:r>
    </w:p>
    <w:p>
      <w:pPr>
        <w:spacing w:after="200" w:line="276" w:lineRule="auto"/>
      </w:pPr>
      <w:r>
        <w:t>(b) Only protein</w:t>
      </w:r>
    </w:p>
    <w:p>
      <w:pPr>
        <w:spacing w:after="200" w:line="276" w:lineRule="auto"/>
      </w:pPr>
      <w:r>
        <w:t>(c) Only glucose</w:t>
      </w:r>
    </w:p>
    <w:p>
      <w:pPr>
        <w:spacing w:after="200" w:line="276" w:lineRule="auto"/>
      </w:pPr>
      <w:r>
        <w:t>(d) Electrolytes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Essential fatty acids and calories (monitor for hypertriglyceridaemia)</w:t>
      </w:r>
    </w:p>
    <w:p>
      <w:pPr>
        <w:spacing w:after="200" w:line="276" w:lineRule="auto"/>
      </w:pPr>
      <w:r>
        <w:t>🧠 Clinical Rationale: Lipids supply EFAs and energy; check triglycerides periodically.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Parenteral - Lipid Emulsion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Essential fatty acids and calories (monitor for hypertriglyceridaemia)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protein — correct in another context, but not for this patient/drug link</w:t>
      </w:r>
    </w:p>
    <w:p>
      <w:pPr>
        <w:spacing w:after="200" w:line="276" w:lineRule="auto"/>
      </w:pPr>
      <w:r>
        <w:t>C. Only glucose — correct in another context, but not for this patient/drug link</w:t>
      </w:r>
    </w:p>
    <w:p>
      <w:pPr>
        <w:spacing w:after="200" w:line="276" w:lineRule="auto"/>
      </w:pPr>
      <w:r>
        <w:t>D. Electrolytes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Grapefruit juice increases toxicity of which drugs?</w:t>
      </w:r>
    </w:p>
    <w:p>
      <w:pPr>
        <w:spacing w:after="200" w:line="276" w:lineRule="auto"/>
      </w:pPr>
      <w:r>
        <w:t>(a) Penicillins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Statins (simvastatin), calcium-channel blockers and some immunosuppressants</w:t>
      </w:r>
    </w:p>
    <w:p>
      <w:pPr>
        <w:spacing w:after="200" w:line="276" w:lineRule="auto"/>
      </w:pPr>
      <w:r>
        <w:t>(d) Metformin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Statins (simvastatin), calcium-channel blockers and some immunosuppressants</w:t>
      </w:r>
    </w:p>
    <w:p>
      <w:pPr>
        <w:spacing w:after="200" w:line="276" w:lineRule="auto"/>
      </w:pPr>
      <w:r>
        <w:t>🧠 Clinical Rationale: Grapefruit inhibits CYP3A4 in the gut — raises drug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Nutrition - Drug Interaction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Statins (simvastatin), calcium-channel blockers and some immunosuppressants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Penicillins — correct in another context, but not for this patient/drug link</w:t>
      </w:r>
    </w:p>
    <w:p>
      <w:pPr>
        <w:spacing w:after="200" w:line="276" w:lineRule="auto"/>
      </w:pPr>
      <w:r>
        <w:t>B. Paracetamol — correct in another context, but not for this patient/drug link</w:t>
      </w:r>
    </w:p>
    <w:p>
      <w:pPr>
        <w:spacing w:after="200" w:line="276" w:lineRule="auto"/>
      </w:pPr>
      <w:r>
        <w:t>D. Metformin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warfarin who suddenly increases leafy green vegetables may have</w:t>
      </w:r>
    </w:p>
    <w:p>
      <w:pPr>
        <w:spacing w:after="200" w:line="276" w:lineRule="auto"/>
      </w:pPr>
      <w:r>
        <w:t>(a) Higher INR</w:t>
      </w:r>
    </w:p>
    <w:p>
      <w:pPr>
        <w:spacing w:after="200" w:line="276" w:lineRule="auto"/>
      </w:pPr>
      <w:r>
        <w:t>(b) Lower INR (vitamin K antagonises warfarin)</w:t>
      </w:r>
    </w:p>
    <w:p>
      <w:pPr>
        <w:spacing w:after="200" w:line="276" w:lineRule="auto"/>
      </w:pPr>
      <w:r>
        <w:t>(c) No change</w:t>
      </w:r>
    </w:p>
    <w:p>
      <w:pPr>
        <w:spacing w:after="200" w:line="276" w:lineRule="auto"/>
      </w:pPr>
      <w:r>
        <w:t>(d) Bleeding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Lower INR (vitamin K antagonises warfarin)</w:t>
      </w:r>
    </w:p>
    <w:p>
      <w:pPr>
        <w:spacing w:after="200" w:line="276" w:lineRule="auto"/>
      </w:pPr>
      <w:r>
        <w:t>🧠 Clinical Rationale: Vitamin K-rich foods reduce warfarin effect — keep intake consistent.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Vitamin K - Warfarin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Lower INR (vitamin K antagonises warfarin)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Higher INR — correct in another context, but not for this patient/drug link</w:t>
      </w:r>
    </w:p>
    <w:p>
      <w:pPr>
        <w:spacing w:after="200" w:line="276" w:lineRule="auto"/>
      </w:pPr>
      <w:r>
        <w:t>C. No change — correct in another context, but not for this patient/drug link</w:t>
      </w:r>
    </w:p>
    <w:p>
      <w:pPr>
        <w:spacing w:after="200" w:line="276" w:lineRule="auto"/>
      </w:pPr>
      <w:r>
        <w:t>D. Bleeding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Iron absorption is enhanced by</w:t>
      </w:r>
    </w:p>
    <w:p>
      <w:pPr>
        <w:spacing w:after="200" w:line="276" w:lineRule="auto"/>
      </w:pPr>
      <w:r>
        <w:t>(a) Vitamin C and meat; inhibited by tea, calcium and antacids</w:t>
      </w:r>
    </w:p>
    <w:p>
      <w:pPr>
        <w:spacing w:after="200" w:line="276" w:lineRule="auto"/>
      </w:pPr>
      <w:r>
        <w:t>(b) Tea</w:t>
      </w:r>
    </w:p>
    <w:p>
      <w:pPr>
        <w:spacing w:after="200" w:line="276" w:lineRule="auto"/>
      </w:pPr>
      <w:r>
        <w:t>(c) Calcium supplements</w:t>
      </w:r>
    </w:p>
    <w:p>
      <w:pPr>
        <w:spacing w:after="200" w:line="276" w:lineRule="auto"/>
      </w:pPr>
      <w:r>
        <w:t>(d) Antacids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C and meat; inhibited by tea, calcium and antacids</w:t>
      </w:r>
    </w:p>
    <w:p>
      <w:pPr>
        <w:spacing w:after="200" w:line="276" w:lineRule="auto"/>
      </w:pPr>
      <w:r>
        <w:t>🧠 Clinical Rationale: Take iron with vitamin C away from tea/calcium for best absorption.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Iron - Absorption Enhancer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Vitamin C and meat; inhibited by tea, calcium and antacids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Tea — correct in another context, but not for this patient/drug link</w:t>
      </w:r>
    </w:p>
    <w:p>
      <w:pPr>
        <w:spacing w:after="200" w:line="276" w:lineRule="auto"/>
      </w:pPr>
      <w:r>
        <w:t>C. Calcium supplements — correct in another context, but not for this patient/drug link</w:t>
      </w:r>
    </w:p>
    <w:p>
      <w:pPr>
        <w:spacing w:after="200" w:line="276" w:lineRule="auto"/>
      </w:pPr>
      <w:r>
        <w:t>D. Antacids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D's role in calcium metabolism is to</w:t>
      </w:r>
    </w:p>
    <w:p>
      <w:pPr>
        <w:spacing w:after="200" w:line="276" w:lineRule="auto"/>
      </w:pPr>
      <w:r>
        <w:t>(a) Excrete calcium</w:t>
      </w:r>
    </w:p>
    <w:p>
      <w:pPr>
        <w:spacing w:after="200" w:line="276" w:lineRule="auto"/>
      </w:pPr>
      <w:r>
        <w:t>(b) Block absorption</w:t>
      </w:r>
    </w:p>
    <w:p>
      <w:pPr>
        <w:spacing w:after="200" w:line="276" w:lineRule="auto"/>
      </w:pPr>
      <w:r>
        <w:t>(c) Lower phosphate</w:t>
      </w:r>
    </w:p>
    <w:p>
      <w:pPr>
        <w:spacing w:after="200" w:line="276" w:lineRule="auto"/>
      </w:pPr>
      <w:r>
        <w:t>(d) Increase intestinal calcium absorption and bone mineralisation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 intestinal calcium absorption and bone mineralisation</w:t>
      </w:r>
    </w:p>
    <w:p>
      <w:pPr>
        <w:spacing w:after="200" w:line="276" w:lineRule="auto"/>
      </w:pPr>
      <w:r>
        <w:t>🧠 Clinical Rationale: Active vitamin D promotes gut calcium absorption — essential for bone health.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Calcium - Vitamin 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Increase intestinal calcium absorption and bone mineralisation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Excrete calcium — correct in another context, but not for this patient/drug link</w:t>
      </w:r>
    </w:p>
    <w:p>
      <w:pPr>
        <w:spacing w:after="200" w:line="276" w:lineRule="auto"/>
      </w:pPr>
      <w:r>
        <w:t>B. Block absorption — correct in another context, but not for this patient/drug link</w:t>
      </w:r>
    </w:p>
    <w:p>
      <w:pPr>
        <w:spacing w:after="200" w:line="276" w:lineRule="auto"/>
      </w:pPr>
      <w:r>
        <w:t>C. Lower phosphate — correct in another context, but not for this patient/drug link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Vitamins</w:t>
      </w:r>
    </w:p>
    <w:p>
      <w:pPr>
        <w:spacing w:after="200" w:line="276" w:lineRule="auto"/>
      </w:pPr>
      <w:r>
        <w:t>→ Fat-soluble (stored): A, D, E, K</w:t>
      </w:r>
    </w:p>
    <w:p>
      <w:pPr>
        <w:spacing w:after="200" w:line="276" w:lineRule="auto"/>
      </w:pPr>
      <w:r>
        <w:t>→ Water-soluble (excreted): B complex, C</w:t>
      </w:r>
    </w:p>
    <w:p>
      <w:pPr>
        <w:spacing w:after="200" w:line="276" w:lineRule="auto"/>
      </w:pPr>
      <w:r>
        <w:t>→ Deficiencies: A → night blindness; D → rickets/osteomalacia; K → bleeding; C → scurvy; B12/folate → megaloblastic anaemia</w:t>
      </w:r>
    </w:p>
    <w:p>
      <w:pPr>
        <w:spacing w:after="200" w:line="276" w:lineRule="auto"/>
      </w:pPr>
      <w:r>
        <w:t>→ Sources: A (liver, carrots), D (sunlight, fish), C (citrus), B12 (meat, dairy)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severe acute malnutrition, F-75 is given initially because it</w:t>
      </w:r>
    </w:p>
    <w:p>
      <w:pPr>
        <w:spacing w:after="200" w:line="276" w:lineRule="auto"/>
      </w:pPr>
      <w:r>
        <w:t>(a) Is cheaper</w:t>
      </w:r>
    </w:p>
    <w:p>
      <w:pPr>
        <w:spacing w:after="200" w:line="276" w:lineRule="auto"/>
      </w:pPr>
      <w:r>
        <w:t>(b) Has more salt</w:t>
      </w:r>
    </w:p>
    <w:p>
      <w:pPr>
        <w:spacing w:after="200" w:line="276" w:lineRule="auto"/>
      </w:pPr>
      <w:r>
        <w:t>(c) Provides lower protein/energy to avoid refeeding risk, then F-100 for catch-up</w:t>
      </w:r>
    </w:p>
    <w:p>
      <w:pPr>
        <w:spacing w:after="200" w:line="276" w:lineRule="auto"/>
      </w:pPr>
      <w:r>
        <w:t>(d) Is only for adults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Provides lower protein/energy to avoid refeeding risk, then F-100 for catch-up</w:t>
      </w:r>
    </w:p>
    <w:p>
      <w:pPr>
        <w:spacing w:after="200" w:line="276" w:lineRule="auto"/>
      </w:pPr>
      <w:r>
        <w:t>🧠 Clinical Rationale: F-75 stabilises; F-100 promotes catch-up growth after stabilisation.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Malnutrition - F-75 vs F-100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Provides lower protein/energy to avoid refeeding risk, then F-100 for catch-up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cheaper — correct in another context, but not for this patient/drug link</w:t>
      </w:r>
    </w:p>
    <w:p>
      <w:pPr>
        <w:spacing w:after="200" w:line="276" w:lineRule="auto"/>
      </w:pPr>
      <w:r>
        <w:t>B. Has more salt — correct in another context, but not for this patient/drug link</w:t>
      </w:r>
    </w:p>
    <w:p>
      <w:pPr>
        <w:spacing w:after="200" w:line="276" w:lineRule="auto"/>
      </w:pPr>
      <w:r>
        <w:t>D. Is only for adults — correct in another context, but not for this patient/drug link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