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Adequate organ perfusion during shock resuscitation is reflected by</w:t>
      </w:r>
    </w:p>
    <w:p>
      <w:pPr>
        <w:spacing w:after="200" w:line="276" w:lineRule="auto"/>
      </w:pPr>
      <w:r>
        <w:t>(a) Urine output ≥0.5 mL/kg/h, improving mentation and falling lactate</w:t>
      </w:r>
    </w:p>
    <w:p>
      <w:pPr>
        <w:spacing w:after="200" w:line="276" w:lineRule="auto"/>
      </w:pPr>
      <w:r>
        <w:t>(b) High fever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Thirst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Urine output ≥0.5 mL/kg/h, improving mentation and falling lactate</w:t>
      </w:r>
    </w:p>
    <w:p>
      <w:pPr>
        <w:spacing w:after="200" w:line="276" w:lineRule="auto"/>
      </w:pPr>
      <w:r>
        <w:t>🧠 Clinical Rationale: Composite perfusion markers guide resuscitation beyond BP alone.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Shock - Perfusion Markers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Urine output ≥0.5 mL/kg/h, improving mentation and falling lactate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 fever — correct in another context, but not for this patient/drug link</w:t>
      </w:r>
    </w:p>
    <w:p>
      <w:pPr>
        <w:spacing w:after="200" w:line="276" w:lineRule="auto"/>
      </w:pPr>
      <w:r>
        <w:t>C. Weight gain — correct in another context, but not for this patient/drug link</w:t>
      </w:r>
    </w:p>
    <w:p>
      <w:pPr>
        <w:spacing w:after="200" w:line="276" w:lineRule="auto"/>
      </w:pPr>
      <w:r>
        <w:t>D. Thirst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Closed (in-line) suctioning of a ventilated patient</w:t>
      </w:r>
    </w:p>
    <w:p>
      <w:pPr>
        <w:spacing w:after="200" w:line="276" w:lineRule="auto"/>
      </w:pPr>
      <w:r>
        <w:t>(a) Increases hypoxaemia</w:t>
      </w:r>
    </w:p>
    <w:p>
      <w:pPr>
        <w:spacing w:after="200" w:line="276" w:lineRule="auto"/>
      </w:pPr>
      <w:r>
        <w:t>(b) Preserves PEEP and oxygenation during suction</w:t>
      </w:r>
    </w:p>
    <w:p>
      <w:pPr>
        <w:spacing w:after="200" w:line="276" w:lineRule="auto"/>
      </w:pPr>
      <w:r>
        <w:t>(c) Requires disconnection</w:t>
      </w:r>
    </w:p>
    <w:p>
      <w:pPr>
        <w:spacing w:after="200" w:line="276" w:lineRule="auto"/>
      </w:pPr>
      <w:r>
        <w:t>(d) Is only for tracheostomy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Preserves PEEP and oxygenation during suction</w:t>
      </w:r>
    </w:p>
    <w:p>
      <w:pPr>
        <w:spacing w:after="200" w:line="276" w:lineRule="auto"/>
      </w:pPr>
      <w:r>
        <w:t>🧠 Clinical Rationale: Closed suction maintains ventilation/PEEP and reduces infection exposure.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Ventilated - Suctioning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Preserves PEEP and oxygenation during suction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Increases hypoxaemia — correct in another context, but not for this patient/drug link</w:t>
      </w:r>
    </w:p>
    <w:p>
      <w:pPr>
        <w:spacing w:after="200" w:line="276" w:lineRule="auto"/>
      </w:pPr>
      <w:r>
        <w:t>C. Requires disconnection — correct in another context, but not for this patient/drug link</w:t>
      </w:r>
    </w:p>
    <w:p>
      <w:pPr>
        <w:spacing w:after="200" w:line="276" w:lineRule="auto"/>
      </w:pPr>
      <w:r>
        <w:t>D. Is only for tracheostomy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spontaneous breathing trial (SBT) assesses</w:t>
      </w:r>
    </w:p>
    <w:p>
      <w:pPr>
        <w:spacing w:after="200" w:line="276" w:lineRule="auto"/>
      </w:pPr>
      <w:r>
        <w:t>(a) Sedation depth</w:t>
      </w:r>
    </w:p>
    <w:p>
      <w:pPr>
        <w:spacing w:after="200" w:line="276" w:lineRule="auto"/>
      </w:pPr>
      <w:r>
        <w:t>(b) Readiness for extubation (tolerating unsupported breathing)</w:t>
      </w:r>
    </w:p>
    <w:p>
      <w:pPr>
        <w:spacing w:after="200" w:line="276" w:lineRule="auto"/>
      </w:pPr>
      <w:r>
        <w:t>(c) Pain</w:t>
      </w:r>
    </w:p>
    <w:p>
      <w:pPr>
        <w:spacing w:after="200" w:line="276" w:lineRule="auto"/>
      </w:pPr>
      <w:r>
        <w:t>(d) Nutrition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Readiness for extubation (tolerating unsupported breathing)</w:t>
      </w:r>
    </w:p>
    <w:p>
      <w:pPr>
        <w:spacing w:after="200" w:line="276" w:lineRule="auto"/>
      </w:pPr>
      <w:r>
        <w:t>🧠 Clinical Rationale: Daily SBT identifies patients ready to extubate — reduces ventilator days.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Weaning - Spontaneous Breathing Trial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Readiness for extubation (tolerating unsupported breathing)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Sedation depth — correct in another context, but not for this patient/drug link</w:t>
      </w:r>
    </w:p>
    <w:p>
      <w:pPr>
        <w:spacing w:after="200" w:line="276" w:lineRule="auto"/>
      </w:pPr>
      <w:r>
        <w:t>C. Pain — correct in another context, but not for this patient/drug link</w:t>
      </w:r>
    </w:p>
    <w:p>
      <w:pPr>
        <w:spacing w:after="200" w:line="276" w:lineRule="auto"/>
      </w:pPr>
      <w:r>
        <w:t>D. Nutrition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high-pressure ventilator alarm may indicate</w:t>
      </w:r>
    </w:p>
    <w:p>
      <w:pPr>
        <w:spacing w:after="200" w:line="276" w:lineRule="auto"/>
      </w:pPr>
      <w:r>
        <w:t>(a) A leak</w:t>
      </w:r>
    </w:p>
    <w:p>
      <w:pPr>
        <w:spacing w:after="200" w:line="276" w:lineRule="auto"/>
      </w:pPr>
      <w:r>
        <w:t>(b) Low oxygen</w:t>
      </w:r>
    </w:p>
    <w:p>
      <w:pPr>
        <w:spacing w:after="200" w:line="276" w:lineRule="auto"/>
      </w:pPr>
      <w:r>
        <w:t>(c) Normal function</w:t>
      </w:r>
    </w:p>
    <w:p>
      <w:pPr>
        <w:spacing w:after="200" w:line="276" w:lineRule="auto"/>
      </w:pPr>
      <w:r>
        <w:t>(d) Secretions, bronchospasm, kinked tube or patient coughing — assess immediately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Secretions, bronchospasm, kinked tube or patient coughing — assess immediately</w:t>
      </w:r>
    </w:p>
    <w:p>
      <w:pPr>
        <w:spacing w:after="200" w:line="276" w:lineRule="auto"/>
      </w:pPr>
      <w:r>
        <w:t>🧠 Clinical Rationale: Troubleshoot airway/circuit causes before adjusting settings.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Ventilator - High-Pressure Alarm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Secretions, bronchospasm, kinked tube or patient coughing — assess immediately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leak — correct in another context, but not for this patient/drug link</w:t>
      </w:r>
    </w:p>
    <w:p>
      <w:pPr>
        <w:spacing w:after="200" w:line="276" w:lineRule="auto"/>
      </w:pPr>
      <w:r>
        <w:t>B. Low oxygen — correct in another context, but not for this patient/drug link</w:t>
      </w:r>
    </w:p>
    <w:p>
      <w:pPr>
        <w:spacing w:after="200" w:line="276" w:lineRule="auto"/>
      </w:pPr>
      <w:r>
        <w:t>C. Normal function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norepinephrine extravasates, the nurse FIRST</w:t>
      </w:r>
    </w:p>
    <w:p>
      <w:pPr>
        <w:spacing w:after="200" w:line="276" w:lineRule="auto"/>
      </w:pPr>
      <w:r>
        <w:t>(a) Continues infusing</w:t>
      </w:r>
    </w:p>
    <w:p>
      <w:pPr>
        <w:spacing w:after="200" w:line="276" w:lineRule="auto"/>
      </w:pPr>
      <w:r>
        <w:t>(b) Applies ice only</w:t>
      </w:r>
    </w:p>
    <w:p>
      <w:pPr>
        <w:spacing w:after="200" w:line="276" w:lineRule="auto"/>
      </w:pPr>
      <w:r>
        <w:t>(c) Stops infusion, aspirates and administers phentolamine (antidote) per protocol</w:t>
      </w:r>
    </w:p>
    <w:p>
      <w:pPr>
        <w:spacing w:after="200" w:line="276" w:lineRule="auto"/>
      </w:pPr>
      <w:r>
        <w:t>(d) Watches it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Stops infusion, aspirates and administers phentolamine (antidote) per protocol</w:t>
      </w:r>
    </w:p>
    <w:p>
      <w:pPr>
        <w:spacing w:after="200" w:line="276" w:lineRule="auto"/>
      </w:pPr>
      <w:r>
        <w:t>🧠 Clinical Rationale: Phentolamine infiltration reverses alpha-mediated tissue necrosis.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Vasopressor - Extravasation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Stops infusion, aspirates and administers phentolamine (antidote) per protocol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Continues infusing — correct in another context, but not for this patient/drug link</w:t>
      </w:r>
    </w:p>
    <w:p>
      <w:pPr>
        <w:spacing w:after="200" w:line="276" w:lineRule="auto"/>
      </w:pPr>
      <w:r>
        <w:t>B. Applies ice only — correct in another context, but not for this patient/drug link</w:t>
      </w:r>
    </w:p>
    <w:p>
      <w:pPr>
        <w:spacing w:after="200" w:line="276" w:lineRule="auto"/>
      </w:pPr>
      <w:r>
        <w:t>D. Watches it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Dobutamine is used in cardiogenic shock to</w:t>
      </w:r>
    </w:p>
    <w:p>
      <w:pPr>
        <w:spacing w:after="200" w:line="276" w:lineRule="auto"/>
      </w:pPr>
      <w:r>
        <w:t>(a) Constrict vessels</w:t>
      </w:r>
    </w:p>
    <w:p>
      <w:pPr>
        <w:spacing w:after="200" w:line="276" w:lineRule="auto"/>
      </w:pPr>
      <w:r>
        <w:t>(b) Slow the heart</w:t>
      </w:r>
    </w:p>
    <w:p>
      <w:pPr>
        <w:spacing w:after="200" w:line="276" w:lineRule="auto"/>
      </w:pPr>
      <w:r>
        <w:t>(c) Cause diuresis</w:t>
      </w:r>
    </w:p>
    <w:p>
      <w:pPr>
        <w:spacing w:after="200" w:line="276" w:lineRule="auto"/>
      </w:pPr>
      <w:r>
        <w:t>(d) Increase contractility and cardiac output (inotrope)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 contractility and cardiac output (inotrope)</w:t>
      </w:r>
    </w:p>
    <w:p>
      <w:pPr>
        <w:spacing w:after="200" w:line="276" w:lineRule="auto"/>
      </w:pPr>
      <w:r>
        <w:t>🧠 Clinical Rationale: Dobutamine improves cardiac output; may lower BP — use with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Inotrope - Dobutamine 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Increase contractility and cardiac output (inotrope)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Constrict vessels — correct in another context, but not for this patient/drug link</w:t>
      </w:r>
    </w:p>
    <w:p>
      <w:pPr>
        <w:spacing w:after="200" w:line="276" w:lineRule="auto"/>
      </w:pPr>
      <w:r>
        <w:t>B. Slow the heart — correct in another context, but not for this patient/drug link</w:t>
      </w:r>
    </w:p>
    <w:p>
      <w:pPr>
        <w:spacing w:after="200" w:line="276" w:lineRule="auto"/>
      </w:pPr>
      <w:r>
        <w:t>C. Cause diuresis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Milrinone (inodilator) is used cautiously because it can cause</w:t>
      </w:r>
    </w:p>
    <w:p>
      <w:pPr>
        <w:spacing w:after="200" w:line="276" w:lineRule="auto"/>
      </w:pPr>
      <w:r>
        <w:t>(a) Bradycardia only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Sedation</w:t>
      </w:r>
    </w:p>
    <w:p>
      <w:pPr>
        <w:spacing w:after="200" w:line="276" w:lineRule="auto"/>
      </w:pPr>
      <w:r>
        <w:t>(d) Hypotension and arrhythmias (also useful in pulmonary hypertension)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Hypotension and arrhythmias (also useful in pulmonary hypertension)</w:t>
      </w:r>
    </w:p>
    <w:p>
      <w:pPr>
        <w:spacing w:after="200" w:line="276" w:lineRule="auto"/>
      </w:pPr>
      <w:r>
        <w:t>🧠 Clinical Rationale: Milrinone vasodilates — monitor BP; beneficial in right-heart failure.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Milrinone - Caution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Hypotension and arrhythmias (also useful in pulmonary hypertension)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only — correct in another context, but not for this patient/drug link</w:t>
      </w:r>
    </w:p>
    <w:p>
      <w:pPr>
        <w:spacing w:after="200" w:line="276" w:lineRule="auto"/>
      </w:pPr>
      <w:r>
        <w:t>B. Hyperkalaemia — correct in another context, but not for this patient/drug link</w:t>
      </w:r>
    </w:p>
    <w:p>
      <w:pPr>
        <w:spacing w:after="200" w:line="276" w:lineRule="auto"/>
      </w:pPr>
      <w:r>
        <w:t>C. Sedation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Propofol infusion syndrome presents with</w:t>
      </w:r>
    </w:p>
    <w:p>
      <w:pPr>
        <w:spacing w:after="200" w:line="276" w:lineRule="auto"/>
      </w:pPr>
      <w:r>
        <w:t>(a) Hyperglycaemia</w:t>
      </w:r>
    </w:p>
    <w:p>
      <w:pPr>
        <w:spacing w:after="200" w:line="276" w:lineRule="auto"/>
      </w:pPr>
      <w:r>
        <w:t>(b) Bradycardia only</w:t>
      </w:r>
    </w:p>
    <w:p>
      <w:pPr>
        <w:spacing w:after="200" w:line="276" w:lineRule="auto"/>
      </w:pPr>
      <w:r>
        <w:t>(c) Metabolic acidosis, rhabdomyolysis, cardiac arrhythmias and renal failure</w:t>
      </w:r>
    </w:p>
    <w:p>
      <w:pPr>
        <w:spacing w:after="200" w:line="276" w:lineRule="auto"/>
      </w:pPr>
      <w:r>
        <w:t>(d) Rash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Metabolic acidosis, rhabdomyolysis, cardiac arrhythmias and renal failure</w:t>
      </w:r>
    </w:p>
    <w:p>
      <w:pPr>
        <w:spacing w:after="200" w:line="276" w:lineRule="auto"/>
      </w:pPr>
      <w:r>
        <w:t>🧠 Clinical Rationale: High-dose prolonged propofol causes PRIS — limit dose and duration.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Sedation - Propofol Syndrome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Metabolic acidosis, rhabdomyolysis, cardiac arrhythmias and renal failure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Hyperglycaemia — correct in another context, but not for this patient/drug link</w:t>
      </w:r>
    </w:p>
    <w:p>
      <w:pPr>
        <w:spacing w:after="200" w:line="276" w:lineRule="auto"/>
      </w:pPr>
      <w:r>
        <w:t>B. Bradycardia only — correct in another context, but not for this patient/drug link</w:t>
      </w:r>
    </w:p>
    <w:p>
      <w:pPr>
        <w:spacing w:after="200" w:line="276" w:lineRule="auto"/>
      </w:pPr>
      <w:r>
        <w:t>D. Rash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Train-of-four (TOF) monitoring during neuromuscular blockade assesses</w:t>
      </w:r>
    </w:p>
    <w:p>
      <w:pPr>
        <w:spacing w:after="200" w:line="276" w:lineRule="auto"/>
      </w:pPr>
      <w:r>
        <w:t>(a) Degree of paralysis to guide dosing and recovery</w:t>
      </w:r>
    </w:p>
    <w:p>
      <w:pPr>
        <w:spacing w:after="200" w:line="276" w:lineRule="auto"/>
      </w:pPr>
      <w:r>
        <w:t>(b) Pain</w:t>
      </w:r>
    </w:p>
    <w:p>
      <w:pPr>
        <w:spacing w:after="200" w:line="276" w:lineRule="auto"/>
      </w:pPr>
      <w:r>
        <w:t>(c) Sedation depth</w:t>
      </w:r>
    </w:p>
    <w:p>
      <w:pPr>
        <w:spacing w:after="200" w:line="276" w:lineRule="auto"/>
      </w:pPr>
      <w:r>
        <w:t>(d) Ventilation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Degree of paralysis to guide dosing and recovery</w:t>
      </w:r>
    </w:p>
    <w:p>
      <w:pPr>
        <w:spacing w:after="200" w:line="276" w:lineRule="auto"/>
      </w:pPr>
      <w:r>
        <w:t>🧠 Clinical Rationale: TOF prevents over- or under-paralysis; target 1-2 twitches in most settings.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Paralytics - Train-of-Four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Degree of paralysis to guide dosing and recovery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Pain — correct in another context, but not for this patient/drug link</w:t>
      </w:r>
    </w:p>
    <w:p>
      <w:pPr>
        <w:spacing w:after="200" w:line="276" w:lineRule="auto"/>
      </w:pPr>
      <w:r>
        <w:t>C. Sedation depth — correct in another context, but not for this patient/drug link</w:t>
      </w:r>
    </w:p>
    <w:p>
      <w:pPr>
        <w:spacing w:after="200" w:line="276" w:lineRule="auto"/>
      </w:pPr>
      <w:r>
        <w:t>D. Ventilation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Fentanyl is preferred in ICU for rapid analgesia because it</w:t>
      </w:r>
    </w:p>
    <w:p>
      <w:pPr>
        <w:spacing w:after="200" w:line="276" w:lineRule="auto"/>
      </w:pPr>
      <w:r>
        <w:t>(a) Is long-acting</w:t>
      </w:r>
    </w:p>
    <w:p>
      <w:pPr>
        <w:spacing w:after="200" w:line="276" w:lineRule="auto"/>
      </w:pPr>
      <w:r>
        <w:t>(b) Is short-acting with minimal histamine release and hypotension</w:t>
      </w:r>
    </w:p>
    <w:p>
      <w:pPr>
        <w:spacing w:after="200" w:line="276" w:lineRule="auto"/>
      </w:pPr>
      <w:r>
        <w:t>(c) Causes sedation only</w:t>
      </w:r>
    </w:p>
    <w:p>
      <w:pPr>
        <w:spacing w:after="200" w:line="276" w:lineRule="auto"/>
      </w:pPr>
      <w:r>
        <w:t>(d) Is oral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Is short-acting with minimal histamine release and hypotension</w:t>
      </w:r>
    </w:p>
    <w:p>
      <w:pPr>
        <w:spacing w:after="200" w:line="276" w:lineRule="auto"/>
      </w:pPr>
      <w:r>
        <w:t>🧠 Clinical Rationale: Fentanyl suits ventilated patients; monitor chest-wall rigidity with rapid boluses.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Analgesia - Fentanyl in ICU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Is short-acting with minimal histamine release and hypotension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long-acting — correct in another context, but not for this patient/drug link</w:t>
      </w:r>
    </w:p>
    <w:p>
      <w:pPr>
        <w:spacing w:after="200" w:line="276" w:lineRule="auto"/>
      </w:pPr>
      <w:r>
        <w:t>C. Causes sedation only — correct in another context, but not for this patient/drug link</w:t>
      </w:r>
    </w:p>
    <w:p>
      <w:pPr>
        <w:spacing w:after="200" w:line="276" w:lineRule="auto"/>
      </w:pPr>
      <w:r>
        <w:t>D. Is oral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broad-spectrum ICU antibiotic covering Pseudomonas is</w:t>
      </w:r>
    </w:p>
    <w:p>
      <w:pPr>
        <w:spacing w:after="200" w:line="276" w:lineRule="auto"/>
      </w:pPr>
      <w:r>
        <w:t>(a) Vancomycin alone</w:t>
      </w:r>
    </w:p>
    <w:p>
      <w:pPr>
        <w:spacing w:after="200" w:line="276" w:lineRule="auto"/>
      </w:pPr>
      <w:r>
        <w:t>(b) Metronidazole</w:t>
      </w:r>
    </w:p>
    <w:p>
      <w:pPr>
        <w:spacing w:after="200" w:line="276" w:lineRule="auto"/>
      </w:pPr>
      <w:r>
        <w:t>(c) Azithromycin</w:t>
      </w:r>
    </w:p>
    <w:p>
      <w:pPr>
        <w:spacing w:after="200" w:line="276" w:lineRule="auto"/>
      </w:pPr>
      <w:r>
        <w:t>(d) Piperacillin-tazobactam (or meropenem)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Piperacillin-tazobactam (or meropenem)</w:t>
      </w:r>
    </w:p>
    <w:p>
      <w:pPr>
        <w:spacing w:after="200" w:line="276" w:lineRule="auto"/>
      </w:pPr>
      <w:r>
        <w:t>🧠 Clinical Rationale: Anti-pseudomonal beta-lactams (pip-tazo, cefepime, carbapenems) are empiric ICU choices.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Piperacillin-Tazobactam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Piperacillin-tazobactam (or meropenem)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Vancomycin alone — correct in another context, but not for this patient/drug link</w:t>
      </w:r>
    </w:p>
    <w:p>
      <w:pPr>
        <w:spacing w:after="200" w:line="276" w:lineRule="auto"/>
      </w:pPr>
      <w:r>
        <w:t>B. Metronidazole — correct in another context, but not for this patient/drug link</w:t>
      </w:r>
    </w:p>
    <w:p>
      <w:pPr>
        <w:spacing w:after="200" w:line="276" w:lineRule="auto"/>
      </w:pPr>
      <w:r>
        <w:t>C. Azithromycin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Vancomycin is monitored with</w:t>
      </w:r>
    </w:p>
    <w:p>
      <w:pPr>
        <w:spacing w:after="200" w:line="276" w:lineRule="auto"/>
      </w:pPr>
      <w:r>
        <w:t>(a) INR</w:t>
      </w:r>
    </w:p>
    <w:p>
      <w:pPr>
        <w:spacing w:after="200" w:line="276" w:lineRule="auto"/>
      </w:pPr>
      <w:r>
        <w:t>(b) aPTT</w:t>
      </w:r>
    </w:p>
    <w:p>
      <w:pPr>
        <w:spacing w:after="200" w:line="276" w:lineRule="auto"/>
      </w:pPr>
      <w:r>
        <w:t>(c) Trough levels (15-20 mg/L for serious infections)</w:t>
      </w:r>
    </w:p>
    <w:p>
      <w:pPr>
        <w:spacing w:after="200" w:line="276" w:lineRule="auto"/>
      </w:pPr>
      <w:r>
        <w:t>(d) Bleeding time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Trough levels (15-20 mg/L for serious infections)</w:t>
      </w:r>
    </w:p>
    <w:p>
      <w:pPr>
        <w:spacing w:after="200" w:line="276" w:lineRule="auto"/>
      </w:pPr>
      <w:r>
        <w:t>🧠 Clinical Rationale: Troughs balance efficacy with nephrotoxicity; adjust in renal impairment.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Vancomycin Monitoring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Trough levels (15-20 mg/L for serious infections)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INR — correct in another context, but not for this patient/drug link</w:t>
      </w:r>
    </w:p>
    <w:p>
      <w:pPr>
        <w:spacing w:after="200" w:line="276" w:lineRule="auto"/>
      </w:pPr>
      <w:r>
        <w:t>B. aPTT — correct in another context, but not for this patient/drug link</w:t>
      </w:r>
    </w:p>
    <w:p>
      <w:pPr>
        <w:spacing w:after="200" w:line="276" w:lineRule="auto"/>
      </w:pPr>
      <w:r>
        <w:t>D. Bleeding time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Empiric antifungal therapy in ICU is considered for</w:t>
      </w:r>
    </w:p>
    <w:p>
      <w:pPr>
        <w:spacing w:after="200" w:line="276" w:lineRule="auto"/>
      </w:pPr>
      <w:r>
        <w:t>(a) Persistent fever despite antibiotics in high-risk (immunocompromised, central lines) patients</w:t>
      </w:r>
    </w:p>
    <w:p>
      <w:pPr>
        <w:spacing w:after="200" w:line="276" w:lineRule="auto"/>
      </w:pPr>
      <w:r>
        <w:t>(b) All fevers</w:t>
      </w:r>
    </w:p>
    <w:p>
      <w:pPr>
        <w:spacing w:after="200" w:line="276" w:lineRule="auto"/>
      </w:pPr>
      <w:r>
        <w:t>(c) Routine prophylaxis</w:t>
      </w:r>
    </w:p>
    <w:p>
      <w:pPr>
        <w:spacing w:after="200" w:line="276" w:lineRule="auto"/>
      </w:pPr>
      <w:r>
        <w:t>(d) Healthy patients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Persistent fever despite antibiotics in high-risk (immunocompromised, central lines) patients</w:t>
      </w:r>
    </w:p>
    <w:p>
      <w:pPr>
        <w:spacing w:after="200" w:line="276" w:lineRule="auto"/>
      </w:pPr>
      <w:r>
        <w:t>🧠 Clinical Rationale: Candida risk in the critically ill may warrant empiric echinocandin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Antifungal - ICU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Persistent fever despite antibiotics in high-risk (immunocompromised, central lines) patients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fevers — correct in another context, but not for this patient/drug link</w:t>
      </w:r>
    </w:p>
    <w:p>
      <w:pPr>
        <w:spacing w:after="200" w:line="276" w:lineRule="auto"/>
      </w:pPr>
      <w:r>
        <w:t>C. Routine prophylaxis — correct in another context, but not for this patient/drug link</w:t>
      </w:r>
    </w:p>
    <w:p>
      <w:pPr>
        <w:spacing w:after="200" w:line="276" w:lineRule="auto"/>
      </w:pPr>
      <w:r>
        <w:t>D. Healthy patients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Massive transfusion uses a balanced ratio of</w:t>
      </w:r>
    </w:p>
    <w:p>
      <w:pPr>
        <w:spacing w:after="200" w:line="276" w:lineRule="auto"/>
      </w:pPr>
      <w:r>
        <w:t>(a) 5:1:1</w:t>
      </w:r>
    </w:p>
    <w:p>
      <w:pPr>
        <w:spacing w:after="200" w:line="276" w:lineRule="auto"/>
      </w:pPr>
      <w:r>
        <w:t>(b) Only RBCs</w:t>
      </w:r>
    </w:p>
    <w:p>
      <w:pPr>
        <w:spacing w:after="200" w:line="276" w:lineRule="auto"/>
      </w:pPr>
      <w:r>
        <w:t>(c) 1:5:5</w:t>
      </w:r>
    </w:p>
    <w:p>
      <w:pPr>
        <w:spacing w:after="200" w:line="276" w:lineRule="auto"/>
      </w:pPr>
      <w:r>
        <w:t>(d) 1:1:1 (RBC:plasma:platelets)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1:1:1 (RBC:plasma:platelets)</w:t>
      </w:r>
    </w:p>
    <w:p>
      <w:pPr>
        <w:spacing w:after="200" w:line="276" w:lineRule="auto"/>
      </w:pPr>
      <w:r>
        <w:t>🧠 Clinical Rationale: Balanced resuscitation prevents coagulopathy and improves survival.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Blood Product - Massive Transfusion Ratio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1:1:1 (RBC:plasma:platelets)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5:1:1 — correct in another context, but not for this patient/drug link</w:t>
      </w:r>
    </w:p>
    <w:p>
      <w:pPr>
        <w:spacing w:after="200" w:line="276" w:lineRule="auto"/>
      </w:pPr>
      <w:r>
        <w:t>B. Only RBCs — correct in another context, but not for this patient/drug link</w:t>
      </w:r>
    </w:p>
    <w:p>
      <w:pPr>
        <w:spacing w:after="200" w:line="276" w:lineRule="auto"/>
      </w:pPr>
      <w:r>
        <w:t>C. 1:5:5 — correct in another context, but not for this patient/drug link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TRALI risk is reduced by</w:t>
      </w:r>
    </w:p>
    <w:p>
      <w:pPr>
        <w:spacing w:after="200" w:line="276" w:lineRule="auto"/>
      </w:pPr>
      <w:r>
        <w:t>(a) Transfusing everyone</w:t>
      </w:r>
    </w:p>
    <w:p>
      <w:pPr>
        <w:spacing w:after="200" w:line="276" w:lineRule="auto"/>
      </w:pPr>
      <w:r>
        <w:t>(b) Faster transfusions</w:t>
      </w:r>
    </w:p>
    <w:p>
      <w:pPr>
        <w:spacing w:after="200" w:line="276" w:lineRule="auto"/>
      </w:pPr>
      <w:r>
        <w:t>(c) Restrictive transfusion and using male/pre-screened donors for plasma</w:t>
      </w:r>
    </w:p>
    <w:p>
      <w:pPr>
        <w:spacing w:after="200" w:line="276" w:lineRule="auto"/>
      </w:pPr>
      <w:r>
        <w:t>(d) No measures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Restrictive transfusion and using male/pre-screened donors for plasma</w:t>
      </w:r>
    </w:p>
    <w:p>
      <w:pPr>
        <w:spacing w:after="200" w:line="276" w:lineRule="auto"/>
      </w:pPr>
      <w:r>
        <w:t>🧠 Clinical Rationale: Restrictive thresholds and donor policies reduce TRALI.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Transfusion - TRALI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Restrictive transfusion and using male/pre-screened donors for plasma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Transfusing everyone — correct in another context, but not for this patient/drug link</w:t>
      </w:r>
    </w:p>
    <w:p>
      <w:pPr>
        <w:spacing w:after="200" w:line="276" w:lineRule="auto"/>
      </w:pPr>
      <w:r>
        <w:t>B. Faster transfusions — correct in another context, but not for this patient/drug link</w:t>
      </w:r>
    </w:p>
    <w:p>
      <w:pPr>
        <w:spacing w:after="200" w:line="276" w:lineRule="auto"/>
      </w:pPr>
      <w:r>
        <w:t>D. No measures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Argatroban is used in ICU when</w:t>
      </w:r>
    </w:p>
    <w:p>
      <w:pPr>
        <w:spacing w:after="200" w:line="276" w:lineRule="auto"/>
      </w:pPr>
      <w:r>
        <w:t>(a) Routine prophylaxis</w:t>
      </w:r>
    </w:p>
    <w:p>
      <w:pPr>
        <w:spacing w:after="200" w:line="276" w:lineRule="auto"/>
      </w:pPr>
      <w:r>
        <w:t>(b) Heparin-induced thrombocytopenia (HIT) requires anticoagulation</w:t>
      </w:r>
    </w:p>
    <w:p>
      <w:pPr>
        <w:spacing w:after="200" w:line="276" w:lineRule="auto"/>
      </w:pPr>
      <w:r>
        <w:t>(c) Bleeding</w:t>
      </w:r>
    </w:p>
    <w:p>
      <w:pPr>
        <w:spacing w:after="200" w:line="276" w:lineRule="auto"/>
      </w:pPr>
      <w:r>
        <w:t>(d) Warfarin overdose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Heparin-induced thrombocytopenia (HIT) requires anticoagulation</w:t>
      </w:r>
    </w:p>
    <w:p>
      <w:pPr>
        <w:spacing w:after="200" w:line="276" w:lineRule="auto"/>
      </w:pPr>
      <w:r>
        <w:t>🧠 Clinical Rationale: Argatroban is a direct thrombin inhibitor for HIT — monitor aPTT.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Anticoagulant - Argatroban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Heparin-induced thrombocytopenia (HIT) requires anticoagulation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prophylaxis — correct in another context, but not for this patient/drug link</w:t>
      </w:r>
    </w:p>
    <w:p>
      <w:pPr>
        <w:spacing w:after="200" w:line="276" w:lineRule="auto"/>
      </w:pPr>
      <w:r>
        <w:t>C. Bleeding — correct in another context, but not for this patient/drug link</w:t>
      </w:r>
    </w:p>
    <w:p>
      <w:pPr>
        <w:spacing w:after="200" w:line="276" w:lineRule="auto"/>
      </w:pPr>
      <w:r>
        <w:t>D. Warfarin overdose — correct in another context, but not for this patient/drug link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Hydrocortisone is added in septic shock when</w:t>
      </w:r>
    </w:p>
    <w:p>
      <w:pPr>
        <w:spacing w:after="200" w:line="276" w:lineRule="auto"/>
      </w:pPr>
      <w:r>
        <w:t>(a) Hypotension persists despite fluids and vasopressors</w:t>
      </w:r>
    </w:p>
    <w:p>
      <w:pPr>
        <w:spacing w:after="200" w:line="276" w:lineRule="auto"/>
      </w:pPr>
      <w:r>
        <w:t>(b) The patient improves</w:t>
      </w:r>
    </w:p>
    <w:p>
      <w:pPr>
        <w:spacing w:after="200" w:line="276" w:lineRule="auto"/>
      </w:pPr>
      <w:r>
        <w:t>(c) Blood sugar rises</w:t>
      </w:r>
    </w:p>
    <w:p>
      <w:pPr>
        <w:spacing w:after="200" w:line="276" w:lineRule="auto"/>
      </w:pPr>
      <w:r>
        <w:t>(d) Pain is severe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 persists despite fluids and vasopressors</w:t>
      </w:r>
    </w:p>
    <w:p>
      <w:pPr>
        <w:spacing w:after="200" w:line="276" w:lineRule="auto"/>
      </w:pPr>
      <w:r>
        <w:t>🧠 Clinical Rationale: Corticosteroids are reserved for vasopressor-refractory shock.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Stress Steroids - Shock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Hypotension persists despite fluids and vasopressors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patient improves — correct in another context, but not for this patient/drug link</w:t>
      </w:r>
    </w:p>
    <w:p>
      <w:pPr>
        <w:spacing w:after="200" w:line="276" w:lineRule="auto"/>
      </w:pPr>
      <w:r>
        <w:t>C. Blood sugar rises — correct in another context, but not for this patient/drug link</w:t>
      </w:r>
    </w:p>
    <w:p>
      <w:pPr>
        <w:spacing w:after="200" w:line="276" w:lineRule="auto"/>
      </w:pPr>
      <w:r>
        <w:t>D. Pain is severe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 insulin infusion, the nurse checks glucose</w:t>
      </w:r>
    </w:p>
    <w:p>
      <w:pPr>
        <w:spacing w:after="200" w:line="276" w:lineRule="auto"/>
      </w:pPr>
      <w:r>
        <w:t>(a) Daily</w:t>
      </w:r>
    </w:p>
    <w:p>
      <w:pPr>
        <w:spacing w:after="200" w:line="276" w:lineRule="auto"/>
      </w:pPr>
      <w:r>
        <w:t>(b) Hourly (per protocol, until stable)</w:t>
      </w:r>
    </w:p>
    <w:p>
      <w:pPr>
        <w:spacing w:after="200" w:line="276" w:lineRule="auto"/>
      </w:pPr>
      <w:r>
        <w:t>(c) Weekly</w:t>
      </w:r>
    </w:p>
    <w:p>
      <w:pPr>
        <w:spacing w:after="200" w:line="276" w:lineRule="auto"/>
      </w:pPr>
      <w:r>
        <w:t>(d) Only at the start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Hourly (per protocol, until stable)</w:t>
      </w:r>
    </w:p>
    <w:p>
      <w:pPr>
        <w:spacing w:after="200" w:line="276" w:lineRule="auto"/>
      </w:pPr>
      <w:r>
        <w:t>🧠 Clinical Rationale: Frequent glucose monitoring prevents hypoglycaemia during IV insulin.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Insulin Infusion Protocol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Hourly (per protocol, until stable)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Daily — correct in another context, but not for this patient/drug link</w:t>
      </w:r>
    </w:p>
    <w:p>
      <w:pPr>
        <w:spacing w:after="200" w:line="276" w:lineRule="auto"/>
      </w:pPr>
      <w:r>
        <w:t>C. Weekly — correct in another context, but not for this patient/drug link</w:t>
      </w:r>
    </w:p>
    <w:p>
      <w:pPr>
        <w:spacing w:after="200" w:line="276" w:lineRule="auto"/>
      </w:pPr>
      <w:r>
        <w:t>D. Only at the start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potassium is given at a maximum peripheral rate of about</w:t>
      </w:r>
    </w:p>
    <w:p>
      <w:pPr>
        <w:spacing w:after="200" w:line="276" w:lineRule="auto"/>
      </w:pPr>
      <w:r>
        <w:t>(a) 100 mEq/hour</w:t>
      </w:r>
    </w:p>
    <w:p>
      <w:pPr>
        <w:spacing w:after="200" w:line="276" w:lineRule="auto"/>
      </w:pPr>
      <w:r>
        <w:t>(b) 1 mEq/hour</w:t>
      </w:r>
    </w:p>
    <w:p>
      <w:pPr>
        <w:spacing w:after="200" w:line="276" w:lineRule="auto"/>
      </w:pPr>
      <w:r>
        <w:t>(c) 10 mEq/hour</w:t>
      </w:r>
    </w:p>
    <w:p>
      <w:pPr>
        <w:spacing w:after="200" w:line="276" w:lineRule="auto"/>
      </w:pPr>
      <w:r>
        <w:t>(d) 50 mEq/hour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 mEq/hour</w:t>
      </w:r>
    </w:p>
    <w:p>
      <w:pPr>
        <w:spacing w:after="200" w:line="276" w:lineRule="auto"/>
      </w:pPr>
      <w:r>
        <w:t>🧠 Clinical Rationale: Rapid potassium risks arrhythmia — use pumps and cardiac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Electrolyte - Potassium Replacement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10 mEq/hour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mEq/hour — correct in another context, but not for this patient/drug link</w:t>
      </w:r>
    </w:p>
    <w:p>
      <w:pPr>
        <w:spacing w:after="200" w:line="276" w:lineRule="auto"/>
      </w:pPr>
      <w:r>
        <w:t>B. 1 mEq/hour — correct in another context, but not for this patient/drug link</w:t>
      </w:r>
    </w:p>
    <w:p>
      <w:pPr>
        <w:spacing w:after="200" w:line="276" w:lineRule="auto"/>
      </w:pPr>
      <w:r>
        <w:t>D. 50 mEq/hour — correct in another context, but not for this patient/drug link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calcium in hyperkalaemia is given to</w:t>
      </w:r>
    </w:p>
    <w:p>
      <w:pPr>
        <w:spacing w:after="200" w:line="276" w:lineRule="auto"/>
      </w:pPr>
      <w:r>
        <w:t>(a) Stabilise the myocardium immediately (not lower potassium)</w:t>
      </w:r>
    </w:p>
    <w:p>
      <w:pPr>
        <w:spacing w:after="200" w:line="276" w:lineRule="auto"/>
      </w:pPr>
      <w:r>
        <w:t>(b) Lower potassium slowly</w:t>
      </w:r>
    </w:p>
    <w:p>
      <w:pPr>
        <w:spacing w:after="200" w:line="276" w:lineRule="auto"/>
      </w:pPr>
      <w:r>
        <w:t>(c) Replace magnesium</w:t>
      </w:r>
    </w:p>
    <w:p>
      <w:pPr>
        <w:spacing w:after="200" w:line="276" w:lineRule="auto"/>
      </w:pPr>
      <w:r>
        <w:t>(d) Sedate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Stabilise the myocardium immediately (not lower potassium)</w:t>
      </w:r>
    </w:p>
    <w:p>
      <w:pPr>
        <w:spacing w:after="200" w:line="276" w:lineRule="auto"/>
      </w:pPr>
      <w:r>
        <w:t>🧠 Clinical Rationale: Calcium protects the heart; insulin-glucose then shifts K+ intracellularly.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Electrolyte - Calcium in Hyperkalaemia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Stabilise the myocardium immediately (not lower potassium)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Lower potassium slowly — correct in another context, but not for this patient/drug link</w:t>
      </w:r>
    </w:p>
    <w:p>
      <w:pPr>
        <w:spacing w:after="200" w:line="276" w:lineRule="auto"/>
      </w:pPr>
      <w:r>
        <w:t>C. Replace magnesium — correct in another context, but not for this patient/drug link</w:t>
      </w:r>
    </w:p>
    <w:p>
      <w:pPr>
        <w:spacing w:after="200" w:line="276" w:lineRule="auto"/>
      </w:pPr>
      <w:r>
        <w:t>D. Sedate — correct in another context, but not for this patient/drug link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