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Gram-positive cocci in clusters suggest</w:t>
      </w:r>
    </w:p>
    <w:p>
      <w:pPr>
        <w:spacing w:after="200" w:line="276" w:lineRule="auto"/>
      </w:pPr>
      <w:r>
        <w:t>(a) Streptococcus</w:t>
      </w:r>
    </w:p>
    <w:p>
      <w:pPr>
        <w:spacing w:after="200" w:line="276" w:lineRule="auto"/>
      </w:pPr>
      <w:r>
        <w:t>(b) Neisseria</w:t>
      </w:r>
    </w:p>
    <w:p>
      <w:pPr>
        <w:spacing w:after="200" w:line="276" w:lineRule="auto"/>
      </w:pPr>
      <w:r>
        <w:t>(c) E. coli</w:t>
      </w:r>
    </w:p>
    <w:p>
      <w:pPr>
        <w:spacing w:after="200" w:line="276" w:lineRule="auto"/>
      </w:pPr>
      <w:r>
        <w:t>(d) Staphylococcus species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Staphylococcus species</w:t>
      </w:r>
    </w:p>
    <w:p>
      <w:pPr>
        <w:spacing w:after="200" w:line="276" w:lineRule="auto"/>
      </w:pPr>
      <w:r>
        <w:t>🧠 Clinical Rationale: Clusters = staphylococci; chains = streptococci; Gram-negative diplococci = Neisseria.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Gram Stain - Classification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Staphylococcus species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Streptococcus — correct in another context, but not for this patient/drug link</w:t>
      </w:r>
    </w:p>
    <w:p>
      <w:pPr>
        <w:spacing w:after="200" w:line="276" w:lineRule="auto"/>
      </w:pPr>
      <w:r>
        <w:t>B. Neisseria — correct in another context, but not for this patient/drug link</w:t>
      </w:r>
    </w:p>
    <w:p>
      <w:pPr>
        <w:spacing w:after="200" w:line="276" w:lineRule="auto"/>
      </w:pPr>
      <w:r>
        <w:t>C. E. coli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Group A beta-haemolytic streptococcus causes</w:t>
      </w:r>
    </w:p>
    <w:p>
      <w:pPr>
        <w:spacing w:after="200" w:line="276" w:lineRule="auto"/>
      </w:pPr>
      <w:r>
        <w:t>(a) Cholera</w:t>
      </w:r>
    </w:p>
    <w:p>
      <w:pPr>
        <w:spacing w:after="200" w:line="276" w:lineRule="auto"/>
      </w:pPr>
      <w:r>
        <w:t>(b) TB</w:t>
      </w:r>
    </w:p>
    <w:p>
      <w:pPr>
        <w:spacing w:after="200" w:line="276" w:lineRule="auto"/>
      </w:pPr>
      <w:r>
        <w:t>(c) Tonsillitis, impetigo, rheumatic fever and glomerulonephritis</w:t>
      </w:r>
    </w:p>
    <w:p>
      <w:pPr>
        <w:spacing w:after="200" w:line="276" w:lineRule="auto"/>
      </w:pPr>
      <w:r>
        <w:t>(d) Malaria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Tonsillitis, impetigo, rheumatic fever and glomerulonephritis</w:t>
      </w:r>
    </w:p>
    <w:p>
      <w:pPr>
        <w:spacing w:after="200" w:line="276" w:lineRule="auto"/>
      </w:pPr>
      <w:r>
        <w:t>🧠 Clinical Rationale: S. pyogenes (GAS) triggers post-streptococcal sequelae — rheumatic fever and GN.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Strep - Lancefield Group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Tonsillitis, impetigo, rheumatic fever and glomerulonephritis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Cholera — correct in another context, but not for this patient/drug link</w:t>
      </w:r>
    </w:p>
    <w:p>
      <w:pPr>
        <w:spacing w:after="200" w:line="276" w:lineRule="auto"/>
      </w:pPr>
      <w:r>
        <w:t>B. TB — correct in another context, but not for this patient/drug link</w:t>
      </w:r>
    </w:p>
    <w:p>
      <w:pPr>
        <w:spacing w:after="200" w:line="276" w:lineRule="auto"/>
      </w:pPr>
      <w:r>
        <w:t>D. Malaria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C. difficile infection is diagnosed with</w:t>
      </w:r>
    </w:p>
    <w:p>
      <w:pPr>
        <w:spacing w:after="200" w:line="276" w:lineRule="auto"/>
      </w:pPr>
      <w:r>
        <w:t>(a) Blood culture</w:t>
      </w:r>
    </w:p>
    <w:p>
      <w:pPr>
        <w:spacing w:after="200" w:line="276" w:lineRule="auto"/>
      </w:pPr>
      <w:r>
        <w:t>(b) Throat swab</w:t>
      </w:r>
    </w:p>
    <w:p>
      <w:pPr>
        <w:spacing w:after="200" w:line="276" w:lineRule="auto"/>
      </w:pPr>
      <w:r>
        <w:t>(c) Urine culture</w:t>
      </w:r>
    </w:p>
    <w:p>
      <w:pPr>
        <w:spacing w:after="200" w:line="276" w:lineRule="auto"/>
      </w:pPr>
      <w:r>
        <w:t>(d) Stool toxin assay/PCR (after antibiotic use)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Stool toxin assay/PCR (after antibiotic use)</w:t>
      </w:r>
    </w:p>
    <w:p>
      <w:pPr>
        <w:spacing w:after="200" w:line="276" w:lineRule="auto"/>
      </w:pPr>
      <w:r>
        <w:t>🧠 Clinical Rationale: CDI follows antibiotic disruption of gut flora — confirm with toxin/NAAT.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C. difficile - Diagnosis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Stool toxin assay/PCR (after antibiotic use)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Blood culture — correct in another context, but not for this patient/drug link</w:t>
      </w:r>
    </w:p>
    <w:p>
      <w:pPr>
        <w:spacing w:after="200" w:line="276" w:lineRule="auto"/>
      </w:pPr>
      <w:r>
        <w:t>B. Throat swab — correct in another context, but not for this patient/drug link</w:t>
      </w:r>
    </w:p>
    <w:p>
      <w:pPr>
        <w:spacing w:after="200" w:line="276" w:lineRule="auto"/>
      </w:pPr>
      <w:r>
        <w:t>C. Urine culture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common cause of uncomplicated UTI is</w:t>
      </w:r>
    </w:p>
    <w:p>
      <w:pPr>
        <w:spacing w:after="200" w:line="276" w:lineRule="auto"/>
      </w:pPr>
      <w:r>
        <w:t>(a) Escherichia coli</w:t>
      </w:r>
    </w:p>
    <w:p>
      <w:pPr>
        <w:spacing w:after="200" w:line="276" w:lineRule="auto"/>
      </w:pPr>
      <w:r>
        <w:t>(b) Pseudomonas</w:t>
      </w:r>
    </w:p>
    <w:p>
      <w:pPr>
        <w:spacing w:after="200" w:line="276" w:lineRule="auto"/>
      </w:pPr>
      <w:r>
        <w:t>(c) Klebsiella</w:t>
      </w:r>
    </w:p>
    <w:p>
      <w:pPr>
        <w:spacing w:after="200" w:line="276" w:lineRule="auto"/>
      </w:pPr>
      <w:r>
        <w:t>(d) Candida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Escherichia coli</w:t>
      </w:r>
    </w:p>
    <w:p>
      <w:pPr>
        <w:spacing w:after="200" w:line="276" w:lineRule="auto"/>
      </w:pPr>
      <w:r>
        <w:t>🧠 Clinical Rationale: E. coli causes ~80% of community UTIs; empiric therapy targets it.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UTI - Common Organism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Escherichia coli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Pseudomonas — correct in another context, but not for this patient/drug link</w:t>
      </w:r>
    </w:p>
    <w:p>
      <w:pPr>
        <w:spacing w:after="200" w:line="276" w:lineRule="auto"/>
      </w:pPr>
      <w:r>
        <w:t>C. Klebsiella — correct in another context, but not for this patient/drug link</w:t>
      </w:r>
    </w:p>
    <w:p>
      <w:pPr>
        <w:spacing w:after="200" w:line="276" w:lineRule="auto"/>
      </w:pPr>
      <w:r>
        <w:t>D. Candida — correct in another context, but not for this patient/drug link</w:t>
      </w:r>
    </w:p>
    <w:p>
      <w:pPr>
        <w:spacing w:after="200" w:line="276" w:lineRule="auto"/>
      </w:pPr>
      <w:r>
        <w:t>⚠️ Exam Trap: UTI organism is E. coli (not Pseudomonas/Candida for community UTI); catheter care aims to PREVENT UTI (bag below bladder).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E. coli causes ~80% of community-acquired UTIs; collect a clean-catch midstream specimen.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UTI</w:t>
      </w:r>
    </w:p>
    <w:p>
      <w:pPr>
        <w:spacing w:after="200" w:line="276" w:lineRule="auto"/>
      </w:pPr>
      <w:r>
        <w:t>→ Organism: E. coli (most common)</w:t>
      </w:r>
    </w:p>
    <w:p>
      <w:pPr>
        <w:spacing w:after="200" w:line="276" w:lineRule="auto"/>
      </w:pPr>
      <w:r>
        <w:t>→ Specimen: clean-catch midstream, first morning sample</w:t>
      </w:r>
    </w:p>
    <w:p>
      <w:pPr>
        <w:spacing w:after="200" w:line="276" w:lineRule="auto"/>
      </w:pPr>
      <w:r>
        <w:t>→ Catheter care: bag below bladder level, keep system closed, perineal hygiene</w:t>
      </w:r>
    </w:p>
    <w:p>
      <w:pPr>
        <w:spacing w:after="200" w:line="276" w:lineRule="auto"/>
      </w:pPr>
      <w:r>
        <w:t>→ Encourage fluids and frequent voiding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Bacterial meningitis in neonates is commonly caused by</w:t>
      </w:r>
    </w:p>
    <w:p>
      <w:pPr>
        <w:spacing w:after="200" w:line="276" w:lineRule="auto"/>
      </w:pPr>
      <w:r>
        <w:t>(a) Pneumococcus only</w:t>
      </w:r>
    </w:p>
    <w:p>
      <w:pPr>
        <w:spacing w:after="200" w:line="276" w:lineRule="auto"/>
      </w:pPr>
      <w:r>
        <w:t>(b) Group B strep, E. coli and Listeria</w:t>
      </w:r>
    </w:p>
    <w:p>
      <w:pPr>
        <w:spacing w:after="200" w:line="276" w:lineRule="auto"/>
      </w:pPr>
      <w:r>
        <w:t>(c) Meningococcus only</w:t>
      </w:r>
    </w:p>
    <w:p>
      <w:pPr>
        <w:spacing w:after="200" w:line="276" w:lineRule="auto"/>
      </w:pPr>
      <w:r>
        <w:t>(d) Haemophilus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Group B strep, E. coli and Listeria</w:t>
      </w:r>
    </w:p>
    <w:p>
      <w:pPr>
        <w:spacing w:after="200" w:line="276" w:lineRule="auto"/>
      </w:pPr>
      <w:r>
        <w:t>🧠 Clinical Rationale: Neonatal meningitis differs from older children (S. pneumoniae, N. meningitidis, Hib).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Meningitis - Organisms by Age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Group B strep, E. coli and Listeria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Pneumococcus only — correct in another context, but not for this patient/drug link</w:t>
      </w:r>
    </w:p>
    <w:p>
      <w:pPr>
        <w:spacing w:after="200" w:line="276" w:lineRule="auto"/>
      </w:pPr>
      <w:r>
        <w:t>C. Meningococcus only — correct in another context, but not for this patient/drug link</w:t>
      </w:r>
    </w:p>
    <w:p>
      <w:pPr>
        <w:spacing w:after="200" w:line="276" w:lineRule="auto"/>
      </w:pPr>
      <w:r>
        <w:t>D. Haemophilus only — correct in another context, but not for this patient/drug link</w:t>
      </w:r>
    </w:p>
    <w:p>
      <w:pPr>
        <w:spacing w:after="200" w:line="276" w:lineRule="auto"/>
      </w:pPr>
      <w:r>
        <w:t>⚠️ Exam Trap: Kernig (knee extension pain on hip flexion) and Brudzinski (neck flexion → hip/knee flexion) are MENINGEAL signs, not stroke or neuropathy signs.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Kernig's and Brudzinski's signs indicate meningeal irritation — the hallmark of meningitis.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Meningitis</w:t>
      </w:r>
    </w:p>
    <w:p>
      <w:pPr>
        <w:spacing w:after="200" w:line="276" w:lineRule="auto"/>
      </w:pPr>
      <w:r>
        <w:t>→ Clues: fever, headache, neck stiffness, photophobia, positive Kernig/Brudzinski</w:t>
      </w:r>
    </w:p>
    <w:p>
      <w:pPr>
        <w:spacing w:after="200" w:line="276" w:lineRule="auto"/>
      </w:pPr>
      <w:r>
        <w:t>→ Bacterial: cloudy CSF, high neutrophils; Viral: lymphocytic CSF</w:t>
      </w:r>
    </w:p>
    <w:p>
      <w:pPr>
        <w:spacing w:after="200" w:line="276" w:lineRule="auto"/>
      </w:pPr>
      <w:r>
        <w:t>→ Droplet precautions + empiric antibiotics early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Mycobacterium tuberculosis appears on ZN stain as</w:t>
      </w:r>
    </w:p>
    <w:p>
      <w:pPr>
        <w:spacing w:after="200" w:line="276" w:lineRule="auto"/>
      </w:pPr>
      <w:r>
        <w:t>(a) Gram-positive cocci</w:t>
      </w:r>
    </w:p>
    <w:p>
      <w:pPr>
        <w:spacing w:after="200" w:line="276" w:lineRule="auto"/>
      </w:pPr>
      <w:r>
        <w:t>(b) Acid-fast bacilli (red/pink rods)</w:t>
      </w:r>
    </w:p>
    <w:p>
      <w:pPr>
        <w:spacing w:after="200" w:line="276" w:lineRule="auto"/>
      </w:pPr>
      <w:r>
        <w:t>(c) Blue yeast</w:t>
      </w:r>
    </w:p>
    <w:p>
      <w:pPr>
        <w:spacing w:after="200" w:line="276" w:lineRule="auto"/>
      </w:pPr>
      <w:r>
        <w:t>(d) Green bacilli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Acid-fast bacilli (red/pink rods)</w:t>
      </w:r>
    </w:p>
    <w:p>
      <w:pPr>
        <w:spacing w:after="200" w:line="276" w:lineRule="auto"/>
      </w:pPr>
      <w:r>
        <w:t>🧠 Clinical Rationale: Mycobacteria resist decolourisation — classic acid-fast red rods.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TB - Ziehl-Neelsen Stain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Acid-fast bacilli (red/pink rods)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Gram-positive cocci — correct in another context, but not for this patient/drug link</w:t>
      </w:r>
    </w:p>
    <w:p>
      <w:pPr>
        <w:spacing w:after="200" w:line="276" w:lineRule="auto"/>
      </w:pPr>
      <w:r>
        <w:t>C. Blue yeast — correct in another context, but not for this patient/drug link</w:t>
      </w:r>
    </w:p>
    <w:p>
      <w:pPr>
        <w:spacing w:after="200" w:line="276" w:lineRule="auto"/>
      </w:pPr>
      <w:r>
        <w:t>D. Green bacilli — correct in another context, but not for this patient/drug link</w:t>
      </w:r>
    </w:p>
    <w:p>
      <w:pPr>
        <w:spacing w:after="200" w:line="276" w:lineRule="auto"/>
      </w:pPr>
      <w:r>
        <w:t>⚠️ Exam Trap: First-line anti-TB: HRZE in the intensive phase — never answer with antibiotics like amoxicillin/metronidazole.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DOTS intensive phase (2 months) = HRZE (Isoniazid + Rifampicin + Pyrazinamide + Ethambutol); continuation (4 months) = HR.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TB treatment</w:t>
      </w:r>
    </w:p>
    <w:p>
      <w:pPr>
        <w:spacing w:after="200" w:line="276" w:lineRule="auto"/>
      </w:pPr>
      <w:r>
        <w:t>→ Intensive phase (2 months): Isoniazid, Rifampicin, Pyrazinamide, Ethambutol</w:t>
      </w:r>
    </w:p>
    <w:p>
      <w:pPr>
        <w:spacing w:after="200" w:line="276" w:lineRule="auto"/>
      </w:pPr>
      <w:r>
        <w:t>→ Continuation (4 months): Isoniazid + Rifampicin</w:t>
      </w:r>
    </w:p>
    <w:p>
      <w:pPr>
        <w:spacing w:after="200" w:line="276" w:lineRule="auto"/>
      </w:pPr>
      <w:r>
        <w:t>→ Rifampicin turns body fluids orange; monitor for hepatitis</w:t>
      </w:r>
    </w:p>
    <w:p>
      <w:pPr>
        <w:spacing w:after="200" w:line="276" w:lineRule="auto"/>
      </w:pPr>
      <w:r>
        <w:t>→ Watch: peripheral neuropathy with INH (give pyridoxine)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standard medium for culturing M. tuberculosis is</w:t>
      </w:r>
    </w:p>
    <w:p>
      <w:pPr>
        <w:spacing w:after="200" w:line="276" w:lineRule="auto"/>
      </w:pPr>
      <w:r>
        <w:t>(a) Blood agar</w:t>
      </w:r>
    </w:p>
    <w:p>
      <w:pPr>
        <w:spacing w:after="200" w:line="276" w:lineRule="auto"/>
      </w:pPr>
      <w:r>
        <w:t>(b) MacConkey agar</w:t>
      </w:r>
    </w:p>
    <w:p>
      <w:pPr>
        <w:spacing w:after="200" w:line="276" w:lineRule="auto"/>
      </w:pPr>
      <w:r>
        <w:t>(c) Lowenstein-Jensen medium</w:t>
      </w:r>
    </w:p>
    <w:p>
      <w:pPr>
        <w:spacing w:after="200" w:line="276" w:lineRule="auto"/>
      </w:pPr>
      <w:r>
        <w:t>(d) Sabouraud agar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Lowenstein-Jensen medium</w:t>
      </w:r>
    </w:p>
    <w:p>
      <w:pPr>
        <w:spacing w:after="200" w:line="276" w:lineRule="auto"/>
      </w:pPr>
      <w:r>
        <w:t>🧠 Clinical Rationale: LJ medium supports mycobacterial growth (weeks); liquid MGIT is faster.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TB - Culture Medium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Lowenstein-Jensen medium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Blood agar — correct in another context, but not for this patient/drug link</w:t>
      </w:r>
    </w:p>
    <w:p>
      <w:pPr>
        <w:spacing w:after="200" w:line="276" w:lineRule="auto"/>
      </w:pPr>
      <w:r>
        <w:t>B. MacConkey agar — correct in another context, but not for this patient/drug link</w:t>
      </w:r>
    </w:p>
    <w:p>
      <w:pPr>
        <w:spacing w:after="200" w:line="276" w:lineRule="auto"/>
      </w:pPr>
      <w:r>
        <w:t>D. Sabouraud agar — correct in another context, but not for this patient/drug link</w:t>
      </w:r>
    </w:p>
    <w:p>
      <w:pPr>
        <w:spacing w:after="200" w:line="276" w:lineRule="auto"/>
      </w:pPr>
      <w:r>
        <w:t>⚠️ Exam Trap: First-line anti-TB: HRZE in the intensive phase — never answer with antibiotics like amoxicillin/metronidazole.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DOTS intensive phase (2 months) = HRZE (Isoniazid + Rifampicin + Pyrazinamide + Ethambutol); continuation (4 months) = HR.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TB treatment</w:t>
      </w:r>
    </w:p>
    <w:p>
      <w:pPr>
        <w:spacing w:after="200" w:line="276" w:lineRule="auto"/>
      </w:pPr>
      <w:r>
        <w:t>→ Intensive phase (2 months): Isoniazid, Rifampicin, Pyrazinamide, Ethambutol</w:t>
      </w:r>
    </w:p>
    <w:p>
      <w:pPr>
        <w:spacing w:after="200" w:line="276" w:lineRule="auto"/>
      </w:pPr>
      <w:r>
        <w:t>→ Continuation (4 months): Isoniazid + Rifampicin</w:t>
      </w:r>
    </w:p>
    <w:p>
      <w:pPr>
        <w:spacing w:after="200" w:line="276" w:lineRule="auto"/>
      </w:pPr>
      <w:r>
        <w:t>→ Rifampicin turns body fluids orange; monitor for hepatitis</w:t>
      </w:r>
    </w:p>
    <w:p>
      <w:pPr>
        <w:spacing w:after="200" w:line="276" w:lineRule="auto"/>
      </w:pPr>
      <w:r>
        <w:t>→ Watch: peripheral neuropathy with INH (give pyridoxine)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TB diagnosis, sputum is best collected</w:t>
      </w:r>
    </w:p>
    <w:p>
      <w:pPr>
        <w:spacing w:after="200" w:line="276" w:lineRule="auto"/>
      </w:pPr>
      <w:r>
        <w:t>(a) Early morning, deep cough, 2 samples (spot-morning)</w:t>
      </w:r>
    </w:p>
    <w:p>
      <w:pPr>
        <w:spacing w:after="200" w:line="276" w:lineRule="auto"/>
      </w:pPr>
      <w:r>
        <w:t>(b) After food</w:t>
      </w:r>
    </w:p>
    <w:p>
      <w:pPr>
        <w:spacing w:after="200" w:line="276" w:lineRule="auto"/>
      </w:pPr>
      <w:r>
        <w:t>(c) At bedtime</w:t>
      </w:r>
    </w:p>
    <w:p>
      <w:pPr>
        <w:spacing w:after="200" w:line="276" w:lineRule="auto"/>
      </w:pPr>
      <w:r>
        <w:t>(d) Once a week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Early morning, deep cough, 2 samples (spot-morning)</w:t>
      </w:r>
    </w:p>
    <w:p>
      <w:pPr>
        <w:spacing w:after="200" w:line="276" w:lineRule="auto"/>
      </w:pPr>
      <w:r>
        <w:t>🧠 Clinical Rationale: Morning deep-cough samples maximise organism yield for smear/CBNAAT.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TB - Sputum Collection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Early morning, deep cough, 2 samples (spot-morning)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After food — correct in another context, but not for this patient/drug link</w:t>
      </w:r>
    </w:p>
    <w:p>
      <w:pPr>
        <w:spacing w:after="200" w:line="276" w:lineRule="auto"/>
      </w:pPr>
      <w:r>
        <w:t>C. At bedtime — correct in another context, but not for this patient/drug link</w:t>
      </w:r>
    </w:p>
    <w:p>
      <w:pPr>
        <w:spacing w:after="200" w:line="276" w:lineRule="auto"/>
      </w:pPr>
      <w:r>
        <w:t>D. Once a week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Hepatitis B is transmitted by</w:t>
      </w:r>
    </w:p>
    <w:p>
      <w:pPr>
        <w:spacing w:after="200" w:line="276" w:lineRule="auto"/>
      </w:pPr>
      <w:r>
        <w:t>(a) Faecal-oral route</w:t>
      </w:r>
    </w:p>
    <w:p>
      <w:pPr>
        <w:spacing w:after="200" w:line="276" w:lineRule="auto"/>
      </w:pPr>
      <w:r>
        <w:t>(b) Respiratory droplets</w:t>
      </w:r>
    </w:p>
    <w:p>
      <w:pPr>
        <w:spacing w:after="200" w:line="276" w:lineRule="auto"/>
      </w:pPr>
      <w:r>
        <w:t>(c) Casual contact</w:t>
      </w:r>
    </w:p>
    <w:p>
      <w:pPr>
        <w:spacing w:after="200" w:line="276" w:lineRule="auto"/>
      </w:pPr>
      <w:r>
        <w:t>(d) Blood, sexual contact and vertical (mother-to-child)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Blood, sexual contact and vertical (mother-to-child)</w:t>
      </w:r>
    </w:p>
    <w:p>
      <w:pPr>
        <w:spacing w:after="200" w:line="276" w:lineRule="auto"/>
      </w:pPr>
      <w:r>
        <w:t>🧠 Clinical Rationale: HBV spreads via blood/body fluids — vaccination prevents it.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Hepatitis - Transmission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Blood, sexual contact and vertical (mother-to-child)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Faecal-oral route — correct in another context, but not for this patient/drug link</w:t>
      </w:r>
    </w:p>
    <w:p>
      <w:pPr>
        <w:spacing w:after="200" w:line="276" w:lineRule="auto"/>
      </w:pPr>
      <w:r>
        <w:t>B. Respiratory droplets — correct in another context, but not for this patient/drug link</w:t>
      </w:r>
    </w:p>
    <w:p>
      <w:pPr>
        <w:spacing w:after="200" w:line="276" w:lineRule="auto"/>
      </w:pPr>
      <w:r>
        <w:t>C. Casual contact — correct in another context, but not for this patient/drug link</w:t>
      </w:r>
    </w:p>
    <w:p>
      <w:pPr>
        <w:spacing w:after="200" w:line="276" w:lineRule="auto"/>
      </w:pPr>
      <w:r>
        <w:t>⚠️ Exam Trap: Transmission routes are the exam point: A/E faecal-oral, B/C blood-borne — and hepatitis B vaccine prevents it.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Hepatitis A/E are faecal-oral (hand hygiene); B/C/D are blood/body fluid — vaccine protects against A and B.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Hepatitis</w:t>
      </w:r>
    </w:p>
    <w:p>
      <w:pPr>
        <w:spacing w:after="200" w:line="276" w:lineRule="auto"/>
      </w:pPr>
      <w:r>
        <w:t>→ A/E: faecal-oral (food/water) — hand hygiene, sanitation</w:t>
      </w:r>
    </w:p>
    <w:p>
      <w:pPr>
        <w:spacing w:after="200" w:line="276" w:lineRule="auto"/>
      </w:pPr>
      <w:r>
        <w:t>→ B/C/D: blood and body fluids — universal precautions, no needle sharing</w:t>
      </w:r>
    </w:p>
    <w:p>
      <w:pPr>
        <w:spacing w:after="200" w:line="276" w:lineRule="auto"/>
      </w:pPr>
      <w:r>
        <w:t>→ Vaccine: hepatitis A and B vaccines available</w:t>
      </w:r>
    </w:p>
    <w:p>
      <w:pPr>
        <w:spacing w:after="200" w:line="276" w:lineRule="auto"/>
      </w:pPr>
      <w:r>
        <w:t>→ Care: rest, nutrition, avoid alcohol and hepatotoxic drugs, monitor liver function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hepatitis viruses are vaccine-preventable?</w:t>
      </w:r>
    </w:p>
    <w:p>
      <w:pPr>
        <w:spacing w:after="200" w:line="276" w:lineRule="auto"/>
      </w:pPr>
      <w:r>
        <w:t>(a) Hepatitis C only</w:t>
      </w:r>
    </w:p>
    <w:p>
      <w:pPr>
        <w:spacing w:after="200" w:line="276" w:lineRule="auto"/>
      </w:pPr>
      <w:r>
        <w:t>(b) Hepatitis E only</w:t>
      </w:r>
    </w:p>
    <w:p>
      <w:pPr>
        <w:spacing w:after="200" w:line="276" w:lineRule="auto"/>
      </w:pPr>
      <w:r>
        <w:t>(c) None</w:t>
      </w:r>
    </w:p>
    <w:p>
      <w:pPr>
        <w:spacing w:after="200" w:line="276" w:lineRule="auto"/>
      </w:pPr>
      <w:r>
        <w:t>(d) Hepatitis A and B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Hepatitis A and B</w:t>
      </w:r>
    </w:p>
    <w:p>
      <w:pPr>
        <w:spacing w:after="200" w:line="276" w:lineRule="auto"/>
      </w:pPr>
      <w:r>
        <w:t>🧠 Clinical Rationale: Vaccines exist for HAV and HBV; HCV/HEV have no vaccine (HEV vaccine exists in some regions).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Hepatitis - Vaccine Preventable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Hepatitis A and B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Hepatitis C only — correct in another context, but not for this patient/drug link</w:t>
      </w:r>
    </w:p>
    <w:p>
      <w:pPr>
        <w:spacing w:after="200" w:line="276" w:lineRule="auto"/>
      </w:pPr>
      <w:r>
        <w:t>B. Hepatitis E only — correct in another context, but not for this patient/drug link</w:t>
      </w:r>
    </w:p>
    <w:p>
      <w:pPr>
        <w:spacing w:after="200" w:line="276" w:lineRule="auto"/>
      </w:pPr>
      <w:r>
        <w:t>C. None — correct in another context, but not for this patient/drug link</w:t>
      </w:r>
    </w:p>
    <w:p>
      <w:pPr>
        <w:spacing w:after="200" w:line="276" w:lineRule="auto"/>
      </w:pPr>
      <w:r>
        <w:t>⚠️ Exam Trap: Transmission routes are the exam point: A/E faecal-oral, B/C blood-borne — and hepatitis B vaccine prevents it.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Hepatitis A/E are faecal-oral (hand hygiene); B/C/D are blood/body fluid — vaccine protects against A and B.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Hepatitis</w:t>
      </w:r>
    </w:p>
    <w:p>
      <w:pPr>
        <w:spacing w:after="200" w:line="276" w:lineRule="auto"/>
      </w:pPr>
      <w:r>
        <w:t>→ A/E: faecal-oral (food/water) — hand hygiene, sanitation</w:t>
      </w:r>
    </w:p>
    <w:p>
      <w:pPr>
        <w:spacing w:after="200" w:line="276" w:lineRule="auto"/>
      </w:pPr>
      <w:r>
        <w:t>→ B/C/D: blood and body fluids — universal precautions, no needle sharing</w:t>
      </w:r>
    </w:p>
    <w:p>
      <w:pPr>
        <w:spacing w:after="200" w:line="276" w:lineRule="auto"/>
      </w:pPr>
      <w:r>
        <w:t>→ Vaccine: hepatitis A and B vaccines available</w:t>
      </w:r>
    </w:p>
    <w:p>
      <w:pPr>
        <w:spacing w:after="200" w:line="276" w:lineRule="auto"/>
      </w:pPr>
      <w:r>
        <w:t>→ Care: rest, nutrition, avoid alcohol and hepatotoxic drugs, monitor liver function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Influenza viruses are classified by</w:t>
      </w:r>
    </w:p>
    <w:p>
      <w:pPr>
        <w:spacing w:after="200" w:line="276" w:lineRule="auto"/>
      </w:pPr>
      <w:r>
        <w:t>(a) Cell wall structure</w:t>
      </w:r>
    </w:p>
    <w:p>
      <w:pPr>
        <w:spacing w:after="200" w:line="276" w:lineRule="auto"/>
      </w:pPr>
      <w:r>
        <w:t>(b) Gram stain</w:t>
      </w:r>
    </w:p>
    <w:p>
      <w:pPr>
        <w:spacing w:after="200" w:line="276" w:lineRule="auto"/>
      </w:pPr>
      <w:r>
        <w:t>(c) Surface antigens (H and N proteins)</w:t>
      </w:r>
    </w:p>
    <w:p>
      <w:pPr>
        <w:spacing w:after="200" w:line="276" w:lineRule="auto"/>
      </w:pPr>
      <w:r>
        <w:t>(d) Motility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Surface antigens (H and N proteins)</w:t>
      </w:r>
    </w:p>
    <w:p>
      <w:pPr>
        <w:spacing w:after="200" w:line="276" w:lineRule="auto"/>
      </w:pPr>
      <w:r>
        <w:t>🧠 Clinical Rationale: HA and NA antigens define influenza subtypes (e.g., H1N1).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Influenza - Genome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Surface antigens (H and N proteins)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Cell wall structure — correct in another context, but not for this patient/drug link</w:t>
      </w:r>
    </w:p>
    <w:p>
      <w:pPr>
        <w:spacing w:after="200" w:line="276" w:lineRule="auto"/>
      </w:pPr>
      <w:r>
        <w:t>B. Gram stain — correct in another context, but not for this patient/drug link</w:t>
      </w:r>
    </w:p>
    <w:p>
      <w:pPr>
        <w:spacing w:after="200" w:line="276" w:lineRule="auto"/>
      </w:pPr>
      <w:r>
        <w:t>D. Motility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Penicillins act by</w:t>
      </w:r>
    </w:p>
    <w:p>
      <w:pPr>
        <w:spacing w:after="200" w:line="276" w:lineRule="auto"/>
      </w:pPr>
      <w:r>
        <w:t>(a) Blocking protein synthesis</w:t>
      </w:r>
    </w:p>
    <w:p>
      <w:pPr>
        <w:spacing w:after="200" w:line="276" w:lineRule="auto"/>
      </w:pPr>
      <w:r>
        <w:t>(b) Inhibiting DNA gyrase</w:t>
      </w:r>
    </w:p>
    <w:p>
      <w:pPr>
        <w:spacing w:after="200" w:line="276" w:lineRule="auto"/>
      </w:pPr>
      <w:r>
        <w:t>(c) Inhibiting bacterial cell wall synthesis</w:t>
      </w:r>
    </w:p>
    <w:p>
      <w:pPr>
        <w:spacing w:after="200" w:line="276" w:lineRule="auto"/>
      </w:pPr>
      <w:r>
        <w:t>(d) Disrupting membranes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Inhibiting bacterial cell wall synthesis</w:t>
      </w:r>
    </w:p>
    <w:p>
      <w:pPr>
        <w:spacing w:after="200" w:line="276" w:lineRule="auto"/>
      </w:pPr>
      <w:r>
        <w:t>🧠 Clinical Rationale: Beta-lactams target peptidoglycan cross-linking — bactericidal.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Antibiotic - Mechanism Match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Inhibiting bacterial cell wall synthesis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Blocking protein synthesis — correct in another context, but not for this patient/drug link</w:t>
      </w:r>
    </w:p>
    <w:p>
      <w:pPr>
        <w:spacing w:after="200" w:line="276" w:lineRule="auto"/>
      </w:pPr>
      <w:r>
        <w:t>B. Inhibiting DNA gyrase — correct in another context, but not for this patient/drug link</w:t>
      </w:r>
    </w:p>
    <w:p>
      <w:pPr>
        <w:spacing w:after="200" w:line="276" w:lineRule="auto"/>
      </w:pPr>
      <w:r>
        <w:t>D. Disrupting membranes — correct in another context, but not for this patient/drug link</w:t>
      </w:r>
    </w:p>
    <w:p>
      <w:pPr>
        <w:spacing w:after="200" w:line="276" w:lineRule="auto"/>
      </w:pPr>
      <w:r>
        <w:t>⚠️ Exam Trap: Mechanism of action is the exam point: penicillins → cell wall; aminoglycosides/macrolides → protein synthesis.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Penicillins are beta-lactams that inhibit bacterial CELL WALL (peptidoglycan) synthesis; watch for allergy (anaphylaxis).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Antibiotic mechanisms</w:t>
      </w:r>
    </w:p>
    <w:p>
      <w:pPr>
        <w:spacing w:after="200" w:line="276" w:lineRule="auto"/>
      </w:pPr>
      <w:r>
        <w:t>→ Cell wall: penicillins, cephalosporins, vancomycin</w:t>
      </w:r>
    </w:p>
    <w:p>
      <w:pPr>
        <w:spacing w:after="200" w:line="276" w:lineRule="auto"/>
      </w:pPr>
      <w:r>
        <w:t>→ Protein synthesis: aminoglycosides, macrolides, tetracyclines</w:t>
      </w:r>
    </w:p>
    <w:p>
      <w:pPr>
        <w:spacing w:after="200" w:line="276" w:lineRule="auto"/>
      </w:pPr>
      <w:r>
        <w:t>→ DNA gyrase: fluoroquinolones</w:t>
      </w:r>
    </w:p>
    <w:p>
      <w:pPr>
        <w:spacing w:after="200" w:line="276" w:lineRule="auto"/>
      </w:pPr>
      <w:r>
        <w:t>→ Folic acid: sulfonamides, trimethoprim</w:t>
      </w:r>
    </w:p>
    <w:p>
      <w:pPr>
        <w:spacing w:after="200" w:line="276" w:lineRule="auto"/>
      </w:pPr>
      <w:r>
        <w:t>→ Always ask about penicillin allergy history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MRSA is resistant to methicillin because of</w:t>
      </w:r>
    </w:p>
    <w:p>
      <w:pPr>
        <w:spacing w:after="200" w:line="276" w:lineRule="auto"/>
      </w:pPr>
      <w:r>
        <w:t>(a) Beta-lactamase only</w:t>
      </w:r>
    </w:p>
    <w:p>
      <w:pPr>
        <w:spacing w:after="200" w:line="276" w:lineRule="auto"/>
      </w:pPr>
      <w:r>
        <w:t>(b) Altered penicillin-binding protein (mecA gene)</w:t>
      </w:r>
    </w:p>
    <w:p>
      <w:pPr>
        <w:spacing w:after="200" w:line="276" w:lineRule="auto"/>
      </w:pPr>
      <w:r>
        <w:t>(c) Efflux pumps only</w:t>
      </w:r>
    </w:p>
    <w:p>
      <w:pPr>
        <w:spacing w:after="200" w:line="276" w:lineRule="auto"/>
      </w:pPr>
      <w:r>
        <w:t>(d) Porin loss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Altered penicillin-binding protein (mecA gene)</w:t>
      </w:r>
    </w:p>
    <w:p>
      <w:pPr>
        <w:spacing w:after="200" w:line="276" w:lineRule="auto"/>
      </w:pPr>
      <w:r>
        <w:t>🧠 Clinical Rationale: mecA-encoded PBP2a resists beta-lactams — treat with vancomycin/linezolid.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Antibiotic - Resistance Mechanism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Altered penicillin-binding protein (mecA gene)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Beta-lactamase only — correct in another context, but not for this patient/drug link</w:t>
      </w:r>
    </w:p>
    <w:p>
      <w:pPr>
        <w:spacing w:after="200" w:line="276" w:lineRule="auto"/>
      </w:pPr>
      <w:r>
        <w:t>C. Efflux pumps only — correct in another context, but not for this patient/drug link</w:t>
      </w:r>
    </w:p>
    <w:p>
      <w:pPr>
        <w:spacing w:after="200" w:line="276" w:lineRule="auto"/>
      </w:pPr>
      <w:r>
        <w:t>D. Porin loss only — correct in another context, but not for this patient/drug link</w:t>
      </w:r>
    </w:p>
    <w:p>
      <w:pPr>
        <w:spacing w:after="200" w:line="276" w:lineRule="auto"/>
      </w:pPr>
      <w:r>
        <w:t>⚠️ Exam Trap: Mechanism of action is the exam point: penicillins → cell wall; aminoglycosides/macrolides → protein synthesis.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Penicillins are beta-lactams that inhibit bacterial CELL WALL (peptidoglycan) synthesis; watch for allergy (anaphylaxis).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Antibiotic mechanisms</w:t>
      </w:r>
    </w:p>
    <w:p>
      <w:pPr>
        <w:spacing w:after="200" w:line="276" w:lineRule="auto"/>
      </w:pPr>
      <w:r>
        <w:t>→ Cell wall: penicillins, cephalosporins, vancomycin</w:t>
      </w:r>
    </w:p>
    <w:p>
      <w:pPr>
        <w:spacing w:after="200" w:line="276" w:lineRule="auto"/>
      </w:pPr>
      <w:r>
        <w:t>→ Protein synthesis: aminoglycosides, macrolides, tetracyclines</w:t>
      </w:r>
    </w:p>
    <w:p>
      <w:pPr>
        <w:spacing w:after="200" w:line="276" w:lineRule="auto"/>
      </w:pPr>
      <w:r>
        <w:t>→ DNA gyrase: fluoroquinolones</w:t>
      </w:r>
    </w:p>
    <w:p>
      <w:pPr>
        <w:spacing w:after="200" w:line="276" w:lineRule="auto"/>
      </w:pPr>
      <w:r>
        <w:t>→ Folic acid: sulfonamides, trimethoprim</w:t>
      </w:r>
    </w:p>
    <w:p>
      <w:pPr>
        <w:spacing w:after="200" w:line="276" w:lineRule="auto"/>
      </w:pPr>
      <w:r>
        <w:t>→ Always ask about penicillin allergy history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ESBL-producing organisms are commonly</w:t>
      </w:r>
    </w:p>
    <w:p>
      <w:pPr>
        <w:spacing w:after="200" w:line="276" w:lineRule="auto"/>
      </w:pPr>
      <w:r>
        <w:t>(a) Strep</w:t>
      </w:r>
    </w:p>
    <w:p>
      <w:pPr>
        <w:spacing w:after="200" w:line="276" w:lineRule="auto"/>
      </w:pPr>
      <w:r>
        <w:t>(b) E. coli and Klebsiella (resistant to cephalosporins)</w:t>
      </w:r>
    </w:p>
    <w:p>
      <w:pPr>
        <w:spacing w:after="200" w:line="276" w:lineRule="auto"/>
      </w:pPr>
      <w:r>
        <w:t>(c) Anaerobes</w:t>
      </w:r>
    </w:p>
    <w:p>
      <w:pPr>
        <w:spacing w:after="200" w:line="276" w:lineRule="auto"/>
      </w:pPr>
      <w:r>
        <w:t>(d) Viruses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E. coli and Klebsiella (resistant to cephalosporins)</w:t>
      </w:r>
    </w:p>
    <w:p>
      <w:pPr>
        <w:spacing w:after="200" w:line="276" w:lineRule="auto"/>
      </w:pPr>
      <w:r>
        <w:t>🧠 Clinical Rationale: ESBLs hydrolyse extended-spectrum cephalosporins — carbapenems are treatment.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ESBL - Organism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E. coli and Klebsiella (resistant to cephalosporins)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Strep — correct in another context, but not for this patient/drug link</w:t>
      </w:r>
    </w:p>
    <w:p>
      <w:pPr>
        <w:spacing w:after="200" w:line="276" w:lineRule="auto"/>
      </w:pPr>
      <w:r>
        <w:t>C. Anaerobes — correct in another context, but not for this patient/drug link</w:t>
      </w:r>
    </w:p>
    <w:p>
      <w:pPr>
        <w:spacing w:after="200" w:line="276" w:lineRule="auto"/>
      </w:pPr>
      <w:r>
        <w:t>D. Viruses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Heat-resistant surgical instruments are sterilised by</w:t>
      </w:r>
    </w:p>
    <w:p>
      <w:pPr>
        <w:spacing w:after="200" w:line="276" w:lineRule="auto"/>
      </w:pPr>
      <w:r>
        <w:t>(a) Boiling</w:t>
      </w:r>
    </w:p>
    <w:p>
      <w:pPr>
        <w:spacing w:after="200" w:line="276" w:lineRule="auto"/>
      </w:pPr>
      <w:r>
        <w:t>(b) UV light</w:t>
      </w:r>
    </w:p>
    <w:p>
      <w:pPr>
        <w:spacing w:after="200" w:line="276" w:lineRule="auto"/>
      </w:pPr>
      <w:r>
        <w:t>(c) Alcohol</w:t>
      </w:r>
    </w:p>
    <w:p>
      <w:pPr>
        <w:spacing w:after="200" w:line="276" w:lineRule="auto"/>
      </w:pPr>
      <w:r>
        <w:t>(d) Autoclaving (steam under pressure, 121°C/15 min)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Autoclaving (steam under pressure, 121°C/15 min)</w:t>
      </w:r>
    </w:p>
    <w:p>
      <w:pPr>
        <w:spacing w:after="200" w:line="276" w:lineRule="auto"/>
      </w:pPr>
      <w:r>
        <w:t>🧠 Clinical Rationale: Autoclaving achieves sterilisation; boiling/UV only disinfect.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Sterilisation - Method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Autoclaving (steam under pressure, 121°C/15 min)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Boiling — correct in another context, but not for this patient/drug link</w:t>
      </w:r>
    </w:p>
    <w:p>
      <w:pPr>
        <w:spacing w:after="200" w:line="276" w:lineRule="auto"/>
      </w:pPr>
      <w:r>
        <w:t>B. UV light — correct in another context, but not for this patient/drug link</w:t>
      </w:r>
    </w:p>
    <w:p>
      <w:pPr>
        <w:spacing w:after="200" w:line="276" w:lineRule="auto"/>
      </w:pPr>
      <w:r>
        <w:t>C. Alcohol — correct in another context, but not for this patient/drug link</w:t>
      </w:r>
    </w:p>
    <w:p>
      <w:pPr>
        <w:spacing w:after="200" w:line="276" w:lineRule="auto"/>
      </w:pPr>
      <w:r>
        <w:t>⚠️ Exam Trap: Sterilization destroys ALL microorganisms including spores; disinfection only reduces pathogens — boiling/UV are disinfection, not sterilization.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Autoclaving (steam under pressure, 121°C, 15 psi, ~20 min) is the most reliable method of sterilization — it destroys spores.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Sterilization vs Disinfection</w:t>
      </w:r>
    </w:p>
    <w:p>
      <w:pPr>
        <w:spacing w:after="200" w:line="276" w:lineRule="auto"/>
      </w:pPr>
      <w:r>
        <w:t>→ Sterilization: kills all microbes + spores (autoclave, dry heat, ethylene oxide, radiation)</w:t>
      </w:r>
    </w:p>
    <w:p>
      <w:pPr>
        <w:spacing w:after="200" w:line="276" w:lineRule="auto"/>
      </w:pPr>
      <w:r>
        <w:t>→ Disinfection: reduces pathogens, not spores (boiling, chemicals, UV)</w:t>
      </w:r>
    </w:p>
    <w:p>
      <w:pPr>
        <w:spacing w:after="200" w:line="276" w:lineRule="auto"/>
      </w:pPr>
      <w:r>
        <w:t>→ Autoclave: 121°C, 15 psi, 20 min</w:t>
      </w:r>
    </w:p>
    <w:p>
      <w:pPr>
        <w:spacing w:after="200" w:line="276" w:lineRule="auto"/>
      </w:pPr>
      <w:r>
        <w:t>→ Spores are the marker of true sterilization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hand hygiene, alcohol-based sanitisers should contain</w:t>
      </w:r>
    </w:p>
    <w:p>
      <w:pPr>
        <w:spacing w:after="200" w:line="276" w:lineRule="auto"/>
      </w:pPr>
      <w:r>
        <w:t>(a) 60-95% alcohol</w:t>
      </w:r>
    </w:p>
    <w:p>
      <w:pPr>
        <w:spacing w:after="200" w:line="276" w:lineRule="auto"/>
      </w:pPr>
      <w:r>
        <w:t>(b) 10-20% alcohol</w:t>
      </w:r>
    </w:p>
    <w:p>
      <w:pPr>
        <w:spacing w:after="200" w:line="276" w:lineRule="auto"/>
      </w:pPr>
      <w:r>
        <w:t>(c) No alcohol</w:t>
      </w:r>
    </w:p>
    <w:p>
      <w:pPr>
        <w:spacing w:after="200" w:line="276" w:lineRule="auto"/>
      </w:pPr>
      <w:r>
        <w:t>(d) 100% alcohol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60-95% alcohol</w:t>
      </w:r>
    </w:p>
    <w:p>
      <w:pPr>
        <w:spacing w:after="200" w:line="276" w:lineRule="auto"/>
      </w:pPr>
      <w:r>
        <w:t>🧠 Clinical Rationale: 60-95% alcohol denatures proteins effectively; higher concentrations may evaporate too fast.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Disinfection - Alcohol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60-95% alcohol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10-20% alcohol — correct in another context, but not for this patient/drug link</w:t>
      </w:r>
    </w:p>
    <w:p>
      <w:pPr>
        <w:spacing w:after="200" w:line="276" w:lineRule="auto"/>
      </w:pPr>
      <w:r>
        <w:t>C. No alcohol — correct in another context, but not for this patient/drug link</w:t>
      </w:r>
    </w:p>
    <w:p>
      <w:pPr>
        <w:spacing w:after="200" w:line="276" w:lineRule="auto"/>
      </w:pPr>
      <w:r>
        <w:t>D. 100% alcohol — correct in another context, but not for this patient/drug link</w:t>
      </w:r>
    </w:p>
    <w:p>
      <w:pPr>
        <w:spacing w:after="200" w:line="276" w:lineRule="auto"/>
      </w:pPr>
      <w:r>
        <w:t>⚠️ Exam Trap: In alcohol withdrawal, thiamine must precede glucose (to prevent Wernicke's) — and delirium tremens is a medical emergency.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Alcohol withdrawal: give thiamine BEFORE glucose, monitor with CIWA, and treat severe withdrawal (delirium tremens) with benzodiazepines.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Alcohol withdrawal</w:t>
      </w:r>
    </w:p>
    <w:p>
      <w:pPr>
        <w:spacing w:after="200" w:line="276" w:lineRule="auto"/>
      </w:pPr>
      <w:r>
        <w:t>→ Timeline: tremors (6–12 h) → seizures → delirium tremens (48–72 h)</w:t>
      </w:r>
    </w:p>
    <w:p>
      <w:pPr>
        <w:spacing w:after="200" w:line="276" w:lineRule="auto"/>
      </w:pPr>
      <w:r>
        <w:t>→ Treatment: benzodiazepines (lorazepam/diazepam), thiamine, fluids, CIWA monitoring</w:t>
      </w:r>
    </w:p>
    <w:p>
      <w:pPr>
        <w:spacing w:after="200" w:line="276" w:lineRule="auto"/>
      </w:pPr>
      <w:r>
        <w:t>→ Delirium tremens: agitation, hallucinations, autonomic storm → emergency</w:t>
      </w:r>
    </w:p>
    <w:p>
      <w:pPr>
        <w:spacing w:after="200" w:line="276" w:lineRule="auto"/>
      </w:pPr>
      <w:r>
        <w:t>→ Detox safety: seizure precautions, calm environment, reorientation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common healthcare-associated infection organism is</w:t>
      </w:r>
    </w:p>
    <w:p>
      <w:pPr>
        <w:spacing w:after="200" w:line="276" w:lineRule="auto"/>
      </w:pPr>
      <w:r>
        <w:t>(a) M. tuberculosis only</w:t>
      </w:r>
    </w:p>
    <w:p>
      <w:pPr>
        <w:spacing w:after="200" w:line="276" w:lineRule="auto"/>
      </w:pPr>
      <w:r>
        <w:t>(b) Pseudomonas aeruginosa and MRSA</w:t>
      </w:r>
    </w:p>
    <w:p>
      <w:pPr>
        <w:spacing w:after="200" w:line="276" w:lineRule="auto"/>
      </w:pPr>
      <w:r>
        <w:t>(c) Norovirus only</w:t>
      </w:r>
    </w:p>
    <w:p>
      <w:pPr>
        <w:spacing w:after="200" w:line="276" w:lineRule="auto"/>
      </w:pPr>
      <w:r>
        <w:t>(d) Allergens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Pseudomonas aeruginosa and MRSA</w:t>
      </w:r>
    </w:p>
    <w:p>
      <w:pPr>
        <w:spacing w:after="200" w:line="276" w:lineRule="auto"/>
      </w:pPr>
      <w:r>
        <w:t>🧠 Clinical Rationale: Pseudomonas, MRSA, C. difficile and VRE dominate HAI epidemiology.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Nosocomial - Common Pathogen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Pseudomonas aeruginosa and MRSA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M. tuberculosis only — correct in another context, but not for this patient/drug link</w:t>
      </w:r>
    </w:p>
    <w:p>
      <w:pPr>
        <w:spacing w:after="200" w:line="276" w:lineRule="auto"/>
      </w:pPr>
      <w:r>
        <w:t>C. Norovirus only — correct in another context, but not for this patient/drug link</w:t>
      </w:r>
    </w:p>
    <w:p>
      <w:pPr>
        <w:spacing w:after="200" w:line="276" w:lineRule="auto"/>
      </w:pPr>
      <w:r>
        <w:t>D. Allergens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Breaking the chain of infection includes</w:t>
      </w:r>
    </w:p>
    <w:p>
      <w:pPr>
        <w:spacing w:after="200" w:line="276" w:lineRule="auto"/>
      </w:pPr>
      <w:r>
        <w:t>(a) Hand hygiene, isolation, immunisation and sterilisation</w:t>
      </w:r>
    </w:p>
    <w:p>
      <w:pPr>
        <w:spacing w:after="200" w:line="276" w:lineRule="auto"/>
      </w:pPr>
      <w:r>
        <w:t>(b) Only antibiotics</w:t>
      </w:r>
    </w:p>
    <w:p>
      <w:pPr>
        <w:spacing w:after="200" w:line="276" w:lineRule="auto"/>
      </w:pPr>
      <w:r>
        <w:t>(c) Only masks</w:t>
      </w:r>
    </w:p>
    <w:p>
      <w:pPr>
        <w:spacing w:after="200" w:line="276" w:lineRule="auto"/>
      </w:pPr>
      <w:r>
        <w:t>(d) No measures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Hand hygiene, isolation, immunisation and sterilisation</w:t>
      </w:r>
    </w:p>
    <w:p>
      <w:pPr>
        <w:spacing w:after="200" w:line="276" w:lineRule="auto"/>
      </w:pPr>
      <w:r>
        <w:t>🧠 Clinical Rationale: Multiple links (agent, reservoir, portal, transmission, host) can be interrupted.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Infection - Chain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Hand hygiene, isolation, immunisation and sterilisation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antibiotics — correct in another context, but not for this patient/drug link</w:t>
      </w:r>
    </w:p>
    <w:p>
      <w:pPr>
        <w:spacing w:after="200" w:line="276" w:lineRule="auto"/>
      </w:pPr>
      <w:r>
        <w:t>C. Only masks — correct in another context, but not for this patient/drug link</w:t>
      </w:r>
    </w:p>
    <w:p>
      <w:pPr>
        <w:spacing w:after="200" w:line="276" w:lineRule="auto"/>
      </w:pPr>
      <w:r>
        <w:t>D. No measures — correct in another context, but not for this patient/drug link</w:t>
      </w:r>
    </w:p>
    <w:p>
      <w:pPr>
        <w:spacing w:after="200" w:line="276" w:lineRule="auto"/>
      </w:pPr>
      <w:r>
        <w:t>⚠️ Exam Trap: Sterilization destroys ALL microorganisms including spores; disinfection only reduces pathogens — boiling/UV are disinfection, not sterilization.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Autoclaving (steam under pressure, 121°C, 15 psi, ~20 min) is the most reliable method of sterilization — it destroys spores.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Sterilization vs Disinfection</w:t>
      </w:r>
    </w:p>
    <w:p>
      <w:pPr>
        <w:spacing w:after="200" w:line="276" w:lineRule="auto"/>
      </w:pPr>
      <w:r>
        <w:t>→ Sterilization: kills all microbes + spores (autoclave, dry heat, ethylene oxide, radiation)</w:t>
      </w:r>
    </w:p>
    <w:p>
      <w:pPr>
        <w:spacing w:after="200" w:line="276" w:lineRule="auto"/>
      </w:pPr>
      <w:r>
        <w:t>→ Disinfection: reduces pathogens, not spores (boiling, chemicals, UV)</w:t>
      </w:r>
    </w:p>
    <w:p>
      <w:pPr>
        <w:spacing w:after="200" w:line="276" w:lineRule="auto"/>
      </w:pPr>
      <w:r>
        <w:t>→ Autoclave: 121°C, 15 psi, 20 min</w:t>
      </w:r>
    </w:p>
    <w:p>
      <w:pPr>
        <w:spacing w:after="200" w:line="276" w:lineRule="auto"/>
      </w:pPr>
      <w:r>
        <w:t>→ Spores are the marker of true sterilization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Chlorhexidine is preferred over povidone-iodine for central line skin prep because it</w:t>
      </w:r>
    </w:p>
    <w:p>
      <w:pPr>
        <w:spacing w:after="200" w:line="276" w:lineRule="auto"/>
      </w:pPr>
      <w:r>
        <w:t>(a) Has more persistent antibacterial activity</w:t>
      </w:r>
    </w:p>
    <w:p>
      <w:pPr>
        <w:spacing w:after="200" w:line="276" w:lineRule="auto"/>
      </w:pPr>
      <w:r>
        <w:t>(b) Is cheaper</w:t>
      </w:r>
    </w:p>
    <w:p>
      <w:pPr>
        <w:spacing w:after="200" w:line="276" w:lineRule="auto"/>
      </w:pPr>
      <w:r>
        <w:t>(c) Stains less only</w:t>
      </w:r>
    </w:p>
    <w:p>
      <w:pPr>
        <w:spacing w:after="200" w:line="276" w:lineRule="auto"/>
      </w:pPr>
      <w:r>
        <w:t>(d) Is a sterilant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Has more persistent antibacterial activity</w:t>
      </w:r>
    </w:p>
    <w:p>
      <w:pPr>
        <w:spacing w:after="200" w:line="276" w:lineRule="auto"/>
      </w:pPr>
      <w:r>
        <w:t>🧠 Clinical Rationale: Chlorhexidine-alcohol reduces CLABSI better than iodine.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Antiseptic - Skin Prep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Has more persistent antibacterial activity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Is cheaper — correct in another context, but not for this patient/drug link</w:t>
      </w:r>
    </w:p>
    <w:p>
      <w:pPr>
        <w:spacing w:after="200" w:line="276" w:lineRule="auto"/>
      </w:pPr>
      <w:r>
        <w:t>C. Stains less only — correct in another context, but not for this patient/drug link</w:t>
      </w:r>
    </w:p>
    <w:p>
      <w:pPr>
        <w:spacing w:after="200" w:line="276" w:lineRule="auto"/>
      </w:pPr>
      <w:r>
        <w:t>D. Is a sterilant — correct in another context, but not for this patient/drug link</w:t>
      </w:r>
    </w:p>
    <w:p>
      <w:pPr>
        <w:spacing w:after="200" w:line="276" w:lineRule="auto"/>
      </w:pPr>
      <w:r>
        <w:t>⚠️ Exam Trap: In alcohol withdrawal, thiamine must precede glucose (to prevent Wernicke's) — and delirium tremens is a medical emergency.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Alcohol withdrawal: give thiamine BEFORE glucose, monitor with CIWA, and treat severe withdrawal (delirium tremens) with benzodiazepines.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Alcohol withdrawal</w:t>
      </w:r>
    </w:p>
    <w:p>
      <w:pPr>
        <w:spacing w:after="200" w:line="276" w:lineRule="auto"/>
      </w:pPr>
      <w:r>
        <w:t>→ Timeline: tremors (6–12 h) → seizures → delirium tremens (48–72 h)</w:t>
      </w:r>
    </w:p>
    <w:p>
      <w:pPr>
        <w:spacing w:after="200" w:line="276" w:lineRule="auto"/>
      </w:pPr>
      <w:r>
        <w:t>→ Treatment: benzodiazepines (lorazepam/diazepam), thiamine, fluids, CIWA monitoring</w:t>
      </w:r>
    </w:p>
    <w:p>
      <w:pPr>
        <w:spacing w:after="200" w:line="276" w:lineRule="auto"/>
      </w:pPr>
      <w:r>
        <w:t>→ Delirium tremens: agitation, hallucinations, autonomic storm → emergency</w:t>
      </w:r>
    </w:p>
    <w:p>
      <w:pPr>
        <w:spacing w:after="200" w:line="276" w:lineRule="auto"/>
      </w:pPr>
      <w:r>
        <w:t>→ Detox safety: seizure precautions, calm environment, reorientation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Blood cultures should be drawn</w:t>
      </w:r>
    </w:p>
    <w:p>
      <w:pPr>
        <w:spacing w:after="200" w:line="276" w:lineRule="auto"/>
      </w:pPr>
      <w:r>
        <w:t>(a) After antibiotics</w:t>
      </w:r>
    </w:p>
    <w:p>
      <w:pPr>
        <w:spacing w:after="200" w:line="276" w:lineRule="auto"/>
      </w:pPr>
      <w:r>
        <w:t>(b) Only from lines</w:t>
      </w:r>
    </w:p>
    <w:p>
      <w:pPr>
        <w:spacing w:after="200" w:line="276" w:lineRule="auto"/>
      </w:pPr>
      <w:r>
        <w:t>(c) Before starting antibiotics (two sets from different sites)</w:t>
      </w:r>
    </w:p>
    <w:p>
      <w:pPr>
        <w:spacing w:after="200" w:line="276" w:lineRule="auto"/>
      </w:pPr>
      <w:r>
        <w:t>(d) Weekly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Before starting antibiotics (two sets from different sites)</w:t>
      </w:r>
    </w:p>
    <w:p>
      <w:pPr>
        <w:spacing w:after="200" w:line="276" w:lineRule="auto"/>
      </w:pPr>
      <w:r>
        <w:t>🧠 Clinical Rationale: Pre-antibiotic cultures maximise yield; two sets improve sensitivity.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Culture - Specimen Timing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Before starting antibiotics (two sets from different sites)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After antibiotics — correct in another context, but not for this patient/drug link</w:t>
      </w:r>
    </w:p>
    <w:p>
      <w:pPr>
        <w:spacing w:after="200" w:line="276" w:lineRule="auto"/>
      </w:pPr>
      <w:r>
        <w:t>B. Only from lines — correct in another context, but not for this patient/drug link</w:t>
      </w:r>
    </w:p>
    <w:p>
      <w:pPr>
        <w:spacing w:after="200" w:line="276" w:lineRule="auto"/>
      </w:pPr>
      <w:r>
        <w:t>D. Weekly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