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Extrapyramidal symptoms from typical antipsychotics occur because they</w:t>
      </w:r>
    </w:p>
    <w:p>
      <w:pPr>
        <w:spacing w:after="200" w:line="276" w:lineRule="auto"/>
      </w:pPr>
      <w:r>
        <w:t>(a) Increase dopamine</w:t>
      </w:r>
    </w:p>
    <w:p>
      <w:pPr>
        <w:spacing w:after="200" w:line="276" w:lineRule="auto"/>
      </w:pPr>
      <w:r>
        <w:t>(b) Block D2 dopamine receptors in the nigrostriatal pathway</w:t>
      </w:r>
    </w:p>
    <w:p>
      <w:pPr>
        <w:spacing w:after="200" w:line="276" w:lineRule="auto"/>
      </w:pPr>
      <w:r>
        <w:t>(c) Block serotonin only</w:t>
      </w:r>
    </w:p>
    <w:p>
      <w:pPr>
        <w:spacing w:after="200" w:line="276" w:lineRule="auto"/>
      </w:pPr>
      <w:r>
        <w:t>(d) Act on GABA receptors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Block D2 dopamine receptors in the nigrostriatal pathway</w:t>
      </w:r>
    </w:p>
    <w:p>
      <w:pPr>
        <w:spacing w:after="200" w:line="276" w:lineRule="auto"/>
      </w:pPr>
      <w:r>
        <w:t>🧠 Clinical Rationale: D2 blockade in the nigrostriatum causes dystonia, parkinsonism and akathisia; treat with anticholinergics.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Antipsychotic - EPS Mechanism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Block D2 dopamine receptors in the nigrostriatal pathway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dopamine — correct in another context, but not for this patient/drug link</w:t>
      </w:r>
    </w:p>
    <w:p>
      <w:pPr>
        <w:spacing w:after="200" w:line="276" w:lineRule="auto"/>
      </w:pPr>
      <w:r>
        <w:t>C. Block serotonin only — correct in another context, but not for this patient/drug link</w:t>
      </w:r>
    </w:p>
    <w:p>
      <w:pPr>
        <w:spacing w:after="200" w:line="276" w:lineRule="auto"/>
      </w:pPr>
      <w:r>
        <w:t>D. Act on GABA receptors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acute extrapyramidal side effect of haloperidol is</w:t>
      </w:r>
    </w:p>
    <w:p>
      <w:pPr>
        <w:spacing w:after="200" w:line="276" w:lineRule="auto"/>
      </w:pPr>
      <w:r>
        <w:t>(a) Acute dystonia (early, especially in young males)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Diabetes</w:t>
      </w:r>
    </w:p>
    <w:p>
      <w:pPr>
        <w:spacing w:after="200" w:line="276" w:lineRule="auto"/>
      </w:pPr>
      <w:r>
        <w:t>(d) Sedation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Acute dystonia (early, especially in young males)</w:t>
      </w:r>
    </w:p>
    <w:p>
      <w:pPr>
        <w:spacing w:after="200" w:line="276" w:lineRule="auto"/>
      </w:pPr>
      <w:r>
        <w:t>🧠 Clinical Rationale: Acute dystonia (tongue protrusion, oculogyric crisis) appears hours-days after starting high-potency antipsychotics; treat with IV/IM anticholinergic.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Haloperidol - Side Effect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Acute dystonia (early, especially in young males)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gain — correct in another context, but not for this patient/drug link</w:t>
      </w:r>
    </w:p>
    <w:p>
      <w:pPr>
        <w:spacing w:after="200" w:line="276" w:lineRule="auto"/>
      </w:pPr>
      <w:r>
        <w:t>C. Diabetes — correct in another context, but not for this patient/drug link</w:t>
      </w:r>
    </w:p>
    <w:p>
      <w:pPr>
        <w:spacing w:after="200" w:line="276" w:lineRule="auto"/>
      </w:pPr>
      <w:r>
        <w:t>D. Sedation only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drug-induced dystonia is treated with</w:t>
      </w:r>
    </w:p>
    <w:p>
      <w:pPr>
        <w:spacing w:after="200" w:line="276" w:lineRule="auto"/>
      </w:pPr>
      <w:r>
        <w:t>(a) IM/IV benztropine or diphenhydramine (anticholinergic)</w:t>
      </w:r>
    </w:p>
    <w:p>
      <w:pPr>
        <w:spacing w:after="200" w:line="276" w:lineRule="auto"/>
      </w:pPr>
      <w:r>
        <w:t>(b) More antipsychotic</w:t>
      </w:r>
    </w:p>
    <w:p>
      <w:pPr>
        <w:spacing w:after="200" w:line="276" w:lineRule="auto"/>
      </w:pPr>
      <w:r>
        <w:t>(c) Propranolol only</w:t>
      </w:r>
    </w:p>
    <w:p>
      <w:pPr>
        <w:spacing w:after="200" w:line="276" w:lineRule="auto"/>
      </w:pPr>
      <w:r>
        <w:t>(d) Diazepam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IM/IV benztropine or diphenhydramine (anticholinergic)</w:t>
      </w:r>
    </w:p>
    <w:p>
      <w:pPr>
        <w:spacing w:after="200" w:line="276" w:lineRule="auto"/>
      </w:pPr>
      <w:r>
        <w:t>🧠 Clinical Rationale: Anticholinergics (benztropine, diphenhydramine) rapidly reverse acute dystonia; propranolol suits akathisia.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EPS - Treatment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IM/IV benztropine or diphenhydramine (anticholinergic)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More antipsychotic — correct in another context, but not for this patient/drug link</w:t>
      </w:r>
    </w:p>
    <w:p>
      <w:pPr>
        <w:spacing w:after="200" w:line="276" w:lineRule="auto"/>
      </w:pPr>
      <w:r>
        <w:t>C. Propranolol only — correct in another context, but not for this patient/drug link</w:t>
      </w:r>
    </w:p>
    <w:p>
      <w:pPr>
        <w:spacing w:after="200" w:line="276" w:lineRule="auto"/>
      </w:pPr>
      <w:r>
        <w:t>D. Diazepam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Antipsychotic-induced akathisia may improve with</w:t>
      </w:r>
    </w:p>
    <w:p>
      <w:pPr>
        <w:spacing w:after="200" w:line="276" w:lineRule="auto"/>
      </w:pPr>
      <w:r>
        <w:t>(a) More D2 blockade</w:t>
      </w:r>
    </w:p>
    <w:p>
      <w:pPr>
        <w:spacing w:after="200" w:line="276" w:lineRule="auto"/>
      </w:pPr>
      <w:r>
        <w:t>(b) Anticholinergics always</w:t>
      </w:r>
    </w:p>
    <w:p>
      <w:pPr>
        <w:spacing w:after="200" w:line="276" w:lineRule="auto"/>
      </w:pPr>
      <w:r>
        <w:t>(c) Beta-blockers (propranolol) or dose reduction</w:t>
      </w:r>
    </w:p>
    <w:p>
      <w:pPr>
        <w:spacing w:after="200" w:line="276" w:lineRule="auto"/>
      </w:pPr>
      <w:r>
        <w:t>(d) Opioids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Beta-blockers (propranolol) or dose reduction</w:t>
      </w:r>
    </w:p>
    <w:p>
      <w:pPr>
        <w:spacing w:after="200" w:line="276" w:lineRule="auto"/>
      </w:pPr>
      <w:r>
        <w:t>🧠 Clinical Rationale: Akathisia (motor restlessness) responds to propranolol, benzodiazepines or dose reduction; it drives non-adherence.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Akathisia - Drug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Beta-blockers (propranolol) or dose reduction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D2 blockade — correct in another context, but not for this patient/drug link</w:t>
      </w:r>
    </w:p>
    <w:p>
      <w:pPr>
        <w:spacing w:after="200" w:line="276" w:lineRule="auto"/>
      </w:pPr>
      <w:r>
        <w:t>B. Anticholinergics always — correct in another context, but not for this patient/drug link</w:t>
      </w:r>
    </w:p>
    <w:p>
      <w:pPr>
        <w:spacing w:after="200" w:line="276" w:lineRule="auto"/>
      </w:pPr>
      <w:r>
        <w:t>D. Opioids — correct in another context, but not for this patient/drug link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Tardive dyskinesia is associated with</w:t>
      </w:r>
    </w:p>
    <w:p>
      <w:pPr>
        <w:spacing w:after="200" w:line="276" w:lineRule="auto"/>
      </w:pPr>
      <w:r>
        <w:t>(a) Long-term typical antipsychotic use (D2 receptor up-regulation)</w:t>
      </w:r>
    </w:p>
    <w:p>
      <w:pPr>
        <w:spacing w:after="200" w:line="276" w:lineRule="auto"/>
      </w:pPr>
      <w:r>
        <w:t>(b) Short-term low-dose use</w:t>
      </w:r>
    </w:p>
    <w:p>
      <w:pPr>
        <w:spacing w:after="200" w:line="276" w:lineRule="auto"/>
      </w:pPr>
      <w:r>
        <w:t>(c) SSRI use only</w:t>
      </w:r>
    </w:p>
    <w:p>
      <w:pPr>
        <w:spacing w:after="200" w:line="276" w:lineRule="auto"/>
      </w:pPr>
      <w:r>
        <w:t>(d) No risk factors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Long-term typical antipsychotic use (D2 receptor up-regulation)</w:t>
      </w:r>
    </w:p>
    <w:p>
      <w:pPr>
        <w:spacing w:after="200" w:line="276" w:lineRule="auto"/>
      </w:pPr>
      <w:r>
        <w:t>🧠 Clinical Rationale: TD appears after months-years of dopamine blockade; screen with AIMS; newer treatments target VMAT2.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Tardive Dyskinesia - Cause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Long-term typical antipsychotic use (D2 receptor up-regulation)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Short-term low-dose use — correct in another context, but not for this patient/drug link</w:t>
      </w:r>
    </w:p>
    <w:p>
      <w:pPr>
        <w:spacing w:after="200" w:line="276" w:lineRule="auto"/>
      </w:pPr>
      <w:r>
        <w:t>C. SSRI use only — correct in another context, but not for this patient/drug link</w:t>
      </w:r>
    </w:p>
    <w:p>
      <w:pPr>
        <w:spacing w:after="200" w:line="276" w:lineRule="auto"/>
      </w:pPr>
      <w:r>
        <w:t>D. No risk factors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FDA-approved treatment for tardive dyskinesia is</w:t>
      </w:r>
    </w:p>
    <w:p>
      <w:pPr>
        <w:spacing w:after="200" w:line="276" w:lineRule="auto"/>
      </w:pPr>
      <w:r>
        <w:t>(a) Levodopa</w:t>
      </w:r>
    </w:p>
    <w:p>
      <w:pPr>
        <w:spacing w:after="200" w:line="276" w:lineRule="auto"/>
      </w:pPr>
      <w:r>
        <w:t>(b) Benztropine alone</w:t>
      </w:r>
    </w:p>
    <w:p>
      <w:pPr>
        <w:spacing w:after="200" w:line="276" w:lineRule="auto"/>
      </w:pPr>
      <w:r>
        <w:t>(c) Valbenazine or deutetrabenazine (VMAT2 inhibitors)</w:t>
      </w:r>
    </w:p>
    <w:p>
      <w:pPr>
        <w:spacing w:after="200" w:line="276" w:lineRule="auto"/>
      </w:pPr>
      <w:r>
        <w:t>(d) Lithium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Valbenazine or deutetrabenazine (VMAT2 inhibitors)</w:t>
      </w:r>
    </w:p>
    <w:p>
      <w:pPr>
        <w:spacing w:after="200" w:line="276" w:lineRule="auto"/>
      </w:pPr>
      <w:r>
        <w:t>🧠 Clinical Rationale: VMAT2 inhibitors reduce dopaminergic transmission and improve TD; also consider switching to clozapine.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TD - Treatment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Valbenazine or deutetrabenazine (VMAT2 inhibitors)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Levodopa — correct in another context, but not for this patient/drug link</w:t>
      </w:r>
    </w:p>
    <w:p>
      <w:pPr>
        <w:spacing w:after="200" w:line="276" w:lineRule="auto"/>
      </w:pPr>
      <w:r>
        <w:t>B. Benztropine alone — correct in another context, but not for this patient/drug link</w:t>
      </w:r>
    </w:p>
    <w:p>
      <w:pPr>
        <w:spacing w:after="200" w:line="276" w:lineRule="auto"/>
      </w:pPr>
      <w:r>
        <w:t>D. Lithium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serious adverse effect of clozapine requiring monitoring is</w:t>
      </w:r>
    </w:p>
    <w:p>
      <w:pPr>
        <w:spacing w:after="200" w:line="276" w:lineRule="auto"/>
      </w:pPr>
      <w:r>
        <w:t>(a) Weight loss</w:t>
      </w:r>
    </w:p>
    <w:p>
      <w:pPr>
        <w:spacing w:after="200" w:line="276" w:lineRule="auto"/>
      </w:pPr>
      <w:r>
        <w:t>(b) Agranulocytosis (weekly/monthly ANC monitoring)</w:t>
      </w:r>
    </w:p>
    <w:p>
      <w:pPr>
        <w:spacing w:after="200" w:line="276" w:lineRule="auto"/>
      </w:pPr>
      <w:r>
        <w:t>(c) Tachycardia only</w:t>
      </w:r>
    </w:p>
    <w:p>
      <w:pPr>
        <w:spacing w:after="200" w:line="276" w:lineRule="auto"/>
      </w:pPr>
      <w:r>
        <w:t>(d) Dry mouth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Agranulocytosis (weekly/monthly ANC monitoring)</w:t>
      </w:r>
    </w:p>
    <w:p>
      <w:pPr>
        <w:spacing w:after="200" w:line="276" w:lineRule="auto"/>
      </w:pPr>
      <w:r>
        <w:t>🧠 Clinical Rationale: Clozapine causes potentially fatal agranulocytosis — ANC monitoring is mandatory (REMS programme).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Clozapine - Haematology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Agranulocytosis (weekly/monthly ANC monitoring)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loss — correct in another context, but not for this patient/drug link</w:t>
      </w:r>
    </w:p>
    <w:p>
      <w:pPr>
        <w:spacing w:after="200" w:line="276" w:lineRule="auto"/>
      </w:pPr>
      <w:r>
        <w:t>C. Tachycardia only — correct in another context, but not for this patient/drug link</w:t>
      </w:r>
    </w:p>
    <w:p>
      <w:pPr>
        <w:spacing w:after="200" w:line="276" w:lineRule="auto"/>
      </w:pPr>
      <w:r>
        <w:t>D. Dry mouth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Atypical antipsychotics like olanzapine require monitoring for</w:t>
      </w:r>
    </w:p>
    <w:p>
      <w:pPr>
        <w:spacing w:after="200" w:line="276" w:lineRule="auto"/>
      </w:pPr>
      <w:r>
        <w:t>(a) Weight gain, blood glucose and lipids (metabolic syndrome)</w:t>
      </w:r>
    </w:p>
    <w:p>
      <w:pPr>
        <w:spacing w:after="200" w:line="276" w:lineRule="auto"/>
      </w:pPr>
      <w:r>
        <w:t>(b) Only liver enzymes</w:t>
      </w:r>
    </w:p>
    <w:p>
      <w:pPr>
        <w:spacing w:after="200" w:line="276" w:lineRule="auto"/>
      </w:pPr>
      <w:r>
        <w:t>(c) Only potassium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Weight gain, blood glucose and lipids (metabolic syndrome)</w:t>
      </w:r>
    </w:p>
    <w:p>
      <w:pPr>
        <w:spacing w:after="200" w:line="276" w:lineRule="auto"/>
      </w:pPr>
      <w:r>
        <w:t>🧠 Clinical Rationale: Metabolic syndrome is common with olanzapine/clozapine — screen weight, waist, glucose, lipids regularly.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Olanzapine - Metabolic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Weight gain, blood glucose and lipids (metabolic syndrome)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liver enzymes — correct in another context, but not for this patient/drug link</w:t>
      </w:r>
    </w:p>
    <w:p>
      <w:pPr>
        <w:spacing w:after="200" w:line="276" w:lineRule="auto"/>
      </w:pPr>
      <w:r>
        <w:t>C. Only potassium — correct in another context, but not for this patient/drug link</w:t>
      </w:r>
    </w:p>
    <w:p>
      <w:pPr>
        <w:spacing w:after="200" w:line="276" w:lineRule="auto"/>
      </w:pPr>
      <w:r>
        <w:t>D. No monitoring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Risperidone at higher doses frequently causes</w:t>
      </w:r>
    </w:p>
    <w:p>
      <w:pPr>
        <w:spacing w:after="200" w:line="276" w:lineRule="auto"/>
      </w:pPr>
      <w:r>
        <w:t>(a) Seizures</w:t>
      </w:r>
    </w:p>
    <w:p>
      <w:pPr>
        <w:spacing w:after="200" w:line="276" w:lineRule="auto"/>
      </w:pPr>
      <w:r>
        <w:t>(b) Hypoglycaemia</w:t>
      </w:r>
    </w:p>
    <w:p>
      <w:pPr>
        <w:spacing w:after="200" w:line="276" w:lineRule="auto"/>
      </w:pPr>
      <w:r>
        <w:t>(c) Hyponatraemia</w:t>
      </w:r>
    </w:p>
    <w:p>
      <w:pPr>
        <w:spacing w:after="200" w:line="276" w:lineRule="auto"/>
      </w:pPr>
      <w:r>
        <w:t>(d) Hyperprolactinaemia (galactorrhoea, amenorrhoea, sexual dysfunction)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Hyperprolactinaemia (galactorrhoea, amenorrhoea, sexual dysfunction)</w:t>
      </w:r>
    </w:p>
    <w:p>
      <w:pPr>
        <w:spacing w:after="200" w:line="276" w:lineRule="auto"/>
      </w:pPr>
      <w:r>
        <w:t>🧠 Clinical Rationale: Risperidone (and typicals) raise prolactin; switch to aripiprazole if symptomatic.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Risperidone - Prolactin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Hyperprolactinaemia (galactorrhoea, amenorrhoea, sexual dysfunction)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Seizures — correct in another context, but not for this patient/drug link</w:t>
      </w:r>
    </w:p>
    <w:p>
      <w:pPr>
        <w:spacing w:after="200" w:line="276" w:lineRule="auto"/>
      </w:pPr>
      <w:r>
        <w:t>B. Hypoglycaemia — correct in another context, but not for this patient/drug link</w:t>
      </w:r>
    </w:p>
    <w:p>
      <w:pPr>
        <w:spacing w:after="200" w:line="276" w:lineRule="auto"/>
      </w:pPr>
      <w:r>
        <w:t>C. Hyponatraemia — correct in another context, but not for this patient/drug link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Aripiprazole is described as a</w:t>
      </w:r>
    </w:p>
    <w:p>
      <w:pPr>
        <w:spacing w:after="200" w:line="276" w:lineRule="auto"/>
      </w:pPr>
      <w:r>
        <w:t>(a) Pure D2 antagonist</w:t>
      </w:r>
    </w:p>
    <w:p>
      <w:pPr>
        <w:spacing w:after="200" w:line="276" w:lineRule="auto"/>
      </w:pPr>
      <w:r>
        <w:t>(b) GABA agonist</w:t>
      </w:r>
    </w:p>
    <w:p>
      <w:pPr>
        <w:spacing w:after="200" w:line="276" w:lineRule="auto"/>
      </w:pPr>
      <w:r>
        <w:t>(c) NMDA antagonist</w:t>
      </w:r>
    </w:p>
    <w:p>
      <w:pPr>
        <w:spacing w:after="200" w:line="276" w:lineRule="auto"/>
      </w:pPr>
      <w:r>
        <w:t>(d) D2 partial agonist (dopamine stabiliser)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D2 partial agonist (dopamine stabiliser)</w:t>
      </w:r>
    </w:p>
    <w:p>
      <w:pPr>
        <w:spacing w:after="200" w:line="276" w:lineRule="auto"/>
      </w:pPr>
      <w:r>
        <w:t>🧠 Clinical Rationale: Partial agonism at D2 reduces EPS and prolactin elevation while treating positive symptoms.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Aripiprazole - Mechanism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D2 partial agonist (dopamine stabiliser)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Pure D2 antagonist — correct in another context, but not for this patient/drug link</w:t>
      </w:r>
    </w:p>
    <w:p>
      <w:pPr>
        <w:spacing w:after="200" w:line="276" w:lineRule="auto"/>
      </w:pPr>
      <w:r>
        <w:t>B. GABA agonist — correct in another context, but not for this patient/drug link</w:t>
      </w:r>
    </w:p>
    <w:p>
      <w:pPr>
        <w:spacing w:after="200" w:line="276" w:lineRule="auto"/>
      </w:pPr>
      <w:r>
        <w:t>C. NMDA antagonist — correct in another context, but not for this patient/drug link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early side effect of SSRIs that usually settles is</w:t>
      </w:r>
    </w:p>
    <w:p>
      <w:pPr>
        <w:spacing w:after="200" w:line="276" w:lineRule="auto"/>
      </w:pPr>
      <w:r>
        <w:t>(a) GI upset, headache and transient anxiety (first 1-2 weeks)</w:t>
      </w:r>
    </w:p>
    <w:p>
      <w:pPr>
        <w:spacing w:after="200" w:line="276" w:lineRule="auto"/>
      </w:pPr>
      <w:r>
        <w:t>(b) Permanent insomnia</w:t>
      </w:r>
    </w:p>
    <w:p>
      <w:pPr>
        <w:spacing w:after="200" w:line="276" w:lineRule="auto"/>
      </w:pPr>
      <w:r>
        <w:t>(c) Cardiac arrhythmia</w:t>
      </w:r>
    </w:p>
    <w:p>
      <w:pPr>
        <w:spacing w:after="200" w:line="276" w:lineRule="auto"/>
      </w:pPr>
      <w:r>
        <w:t>(d) Renal failure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GI upset, headache and transient anxiety (first 1-2 weeks)</w:t>
      </w:r>
    </w:p>
    <w:p>
      <w:pPr>
        <w:spacing w:after="200" w:line="276" w:lineRule="auto"/>
      </w:pPr>
      <w:r>
        <w:t>🧠 Clinical Rationale: Early SSRI side effects (nausea, agitation, headache) often fade; sexual dysfunction may persist.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SSRI - Side Effect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GI upset, headache and transient anxiety (first 1-2 weeks)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Permanent insomnia — correct in another context, but not for this patient/drug link</w:t>
      </w:r>
    </w:p>
    <w:p>
      <w:pPr>
        <w:spacing w:after="200" w:line="276" w:lineRule="auto"/>
      </w:pPr>
      <w:r>
        <w:t>C. Cardiac arrhythmia — correct in another context, but not for this patient/drug link</w:t>
      </w:r>
    </w:p>
    <w:p>
      <w:pPr>
        <w:spacing w:after="200" w:line="276" w:lineRule="auto"/>
      </w:pPr>
      <w:r>
        <w:t>D. Renal failure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Serotonin syndrome can be precipitated by combining an SSRI with</w:t>
      </w:r>
    </w:p>
    <w:p>
      <w:pPr>
        <w:spacing w:after="200" w:line="276" w:lineRule="auto"/>
      </w:pPr>
      <w:r>
        <w:t>(a) Aspirin</w:t>
      </w:r>
    </w:p>
    <w:p>
      <w:pPr>
        <w:spacing w:after="200" w:line="276" w:lineRule="auto"/>
      </w:pPr>
      <w:r>
        <w:t>(b) Omeprazole</w:t>
      </w:r>
    </w:p>
    <w:p>
      <w:pPr>
        <w:spacing w:after="200" w:line="276" w:lineRule="auto"/>
      </w:pPr>
      <w:r>
        <w:t>(c) MAOIs, linezolid, tramadol or triptans</w:t>
      </w:r>
    </w:p>
    <w:p>
      <w:pPr>
        <w:spacing w:after="200" w:line="276" w:lineRule="auto"/>
      </w:pPr>
      <w:r>
        <w:t>(d) Paracetamol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MAOIs, linezolid, tramadol or triptans</w:t>
      </w:r>
    </w:p>
    <w:p>
      <w:pPr>
        <w:spacing w:after="200" w:line="276" w:lineRule="auto"/>
      </w:pPr>
      <w:r>
        <w:t>🧠 Clinical Rationale: Serotonergic stacking (SSRI + MAOI/linezolid/tramadol) causes agitation, clonus, hyperthermia — treat supportively.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Serotonin Syndrome - Trigger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MAOIs, linezolid, tramadol or triptans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— correct in another context, but not for this patient/drug link</w:t>
      </w:r>
    </w:p>
    <w:p>
      <w:pPr>
        <w:spacing w:after="200" w:line="276" w:lineRule="auto"/>
      </w:pPr>
      <w:r>
        <w:t>B. Omeprazole — correct in another context, but not for this patient/drug link</w:t>
      </w:r>
    </w:p>
    <w:p>
      <w:pPr>
        <w:spacing w:after="200" w:line="276" w:lineRule="auto"/>
      </w:pPr>
      <w:r>
        <w:t>D. Paracetamol — correct in another context, but not for this patient/drug link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distinguishing feature of serotonin syndrome is</w:t>
      </w:r>
    </w:p>
    <w:p>
      <w:pPr>
        <w:spacing w:after="200" w:line="276" w:lineRule="auto"/>
      </w:pPr>
      <w:r>
        <w:t>(a) Bradycardia and miosis</w:t>
      </w:r>
    </w:p>
    <w:p>
      <w:pPr>
        <w:spacing w:after="200" w:line="276" w:lineRule="auto"/>
      </w:pPr>
      <w:r>
        <w:t>(b) Dry skin</w:t>
      </w:r>
    </w:p>
    <w:p>
      <w:pPr>
        <w:spacing w:after="200" w:line="276" w:lineRule="auto"/>
      </w:pPr>
      <w:r>
        <w:t>(c) Hyperreflexia, clonus and neuromuscular hyperactivity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Hyperreflexia, clonus and neuromuscular hyperactivity</w:t>
      </w:r>
    </w:p>
    <w:p>
      <w:pPr>
        <w:spacing w:after="200" w:line="276" w:lineRule="auto"/>
      </w:pPr>
      <w:r>
        <w:t>🧠 Clinical Rationale: Clonus + hyperreflexia + agitation distinguish serotonin syndrome from NMS (rigidity, bradyreflexia, high CK).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Serotonin Syndrome - Sign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Hyperreflexia, clonus and neuromuscular hyperactivity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and miosis — correct in another context, but not for this patient/drug link</w:t>
      </w:r>
    </w:p>
    <w:p>
      <w:pPr>
        <w:spacing w:after="200" w:line="276" w:lineRule="auto"/>
      </w:pPr>
      <w:r>
        <w:t>B. Dry skin — correct in another context, but not for this patient/drug link</w:t>
      </w:r>
    </w:p>
    <w:p>
      <w:pPr>
        <w:spacing w:after="200" w:line="276" w:lineRule="auto"/>
      </w:pPr>
      <w:r>
        <w:t>D. Constipation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a MAOI must avoid</w:t>
      </w:r>
    </w:p>
    <w:p>
      <w:pPr>
        <w:spacing w:after="200" w:line="276" w:lineRule="auto"/>
      </w:pPr>
      <w:r>
        <w:t>(a) Fresh vegetables</w:t>
      </w:r>
    </w:p>
    <w:p>
      <w:pPr>
        <w:spacing w:after="200" w:line="276" w:lineRule="auto"/>
      </w:pPr>
      <w:r>
        <w:t>(b) Rice</w:t>
      </w:r>
    </w:p>
    <w:p>
      <w:pPr>
        <w:spacing w:after="200" w:line="276" w:lineRule="auto"/>
      </w:pPr>
      <w:r>
        <w:t>(c) Boiled eggs</w:t>
      </w:r>
    </w:p>
    <w:p>
      <w:pPr>
        <w:spacing w:after="200" w:line="276" w:lineRule="auto"/>
      </w:pPr>
      <w:r>
        <w:t>(d) Aged cheese, cured meats and fermented foods (tyramine)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Aged cheese, cured meats and fermented foods (tyramine)</w:t>
      </w:r>
    </w:p>
    <w:p>
      <w:pPr>
        <w:spacing w:after="200" w:line="276" w:lineRule="auto"/>
      </w:pPr>
      <w:r>
        <w:t>🧠 Clinical Rationale: Tyramine-rich foods with MAOIs cause hypertensive crisis — counsel food lists and OTC decongestants.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MAOI - Dietary Restriction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Aged cheese, cured meats and fermented foods (tyramine)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Fresh vegetables — correct in another context, but not for this patient/drug link</w:t>
      </w:r>
    </w:p>
    <w:p>
      <w:pPr>
        <w:spacing w:after="200" w:line="276" w:lineRule="auto"/>
      </w:pPr>
      <w:r>
        <w:t>B. Rice — correct in another context, but not for this patient/drug link</w:t>
      </w:r>
    </w:p>
    <w:p>
      <w:pPr>
        <w:spacing w:after="200" w:line="276" w:lineRule="auto"/>
      </w:pPr>
      <w:r>
        <w:t>C. Boiled eggs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Tricyclic antidepressant overdose is dangerous because of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Cardiotoxicity (wide QRS, arrhythmias) and seizures</w:t>
      </w:r>
    </w:p>
    <w:p>
      <w:pPr>
        <w:spacing w:after="200" w:line="276" w:lineRule="auto"/>
      </w:pPr>
      <w:r>
        <w:t>(c) Nephrotoxicity</w:t>
      </w:r>
    </w:p>
    <w:p>
      <w:pPr>
        <w:spacing w:after="200" w:line="276" w:lineRule="auto"/>
      </w:pPr>
      <w:r>
        <w:t>(d) Sedation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Cardiotoxicity (wide QRS, arrhythmias) and seizures</w:t>
      </w:r>
    </w:p>
    <w:p>
      <w:pPr>
        <w:spacing w:after="200" w:line="276" w:lineRule="auto"/>
      </w:pPr>
      <w:r>
        <w:t>🧠 Clinical Rationale: TCAs block fast sodium channels — wide QRS, VT/VF; give sodium bicarbonate and monitor ECG.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TCA - Overdose Toxicity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Cardiotoxicity (wide QRS, arrhythmias) and seizures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Hypoglycaemia — correct in another context, but not for this patient/drug link</w:t>
      </w:r>
    </w:p>
    <w:p>
      <w:pPr>
        <w:spacing w:after="200" w:line="276" w:lineRule="auto"/>
      </w:pPr>
      <w:r>
        <w:t>C. Nephrotoxicity — correct in another context, but not for this patient/drug link</w:t>
      </w:r>
    </w:p>
    <w:p>
      <w:pPr>
        <w:spacing w:after="200" w:line="276" w:lineRule="auto"/>
      </w:pPr>
      <w:r>
        <w:t>D. Sedation only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anticholinergic side effect of amitriptyline is</w:t>
      </w:r>
    </w:p>
    <w:p>
      <w:pPr>
        <w:spacing w:after="200" w:line="276" w:lineRule="auto"/>
      </w:pPr>
      <w:r>
        <w:t>(a) Diarrhoea</w:t>
      </w:r>
    </w:p>
    <w:p>
      <w:pPr>
        <w:spacing w:after="200" w:line="276" w:lineRule="auto"/>
      </w:pPr>
      <w:r>
        <w:t>(b) Tremor only</w:t>
      </w:r>
    </w:p>
    <w:p>
      <w:pPr>
        <w:spacing w:after="200" w:line="276" w:lineRule="auto"/>
      </w:pPr>
      <w:r>
        <w:t>(c) Dry mouth, blurred vision, urinary retention and constipation</w:t>
      </w:r>
    </w:p>
    <w:p>
      <w:pPr>
        <w:spacing w:after="200" w:line="276" w:lineRule="auto"/>
      </w:pPr>
      <w:r>
        <w:t>(d) Tachycardia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Dry mouth, blurred vision, urinary retention and constipation</w:t>
      </w:r>
    </w:p>
    <w:p>
      <w:pPr>
        <w:spacing w:after="200" w:line="276" w:lineRule="auto"/>
      </w:pPr>
      <w:r>
        <w:t>🧠 Clinical Rationale: TCA anticholinergic burden is significant — caution in elderly (confusion, falls, retention).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TCA - Side Effect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Dry mouth, blurred vision, urinary retention and constipation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Diarrhoea — correct in another context, but not for this patient/drug link</w:t>
      </w:r>
    </w:p>
    <w:p>
      <w:pPr>
        <w:spacing w:after="200" w:line="276" w:lineRule="auto"/>
      </w:pPr>
      <w:r>
        <w:t>B. Tremor only — correct in another context, but not for this patient/drug link</w:t>
      </w:r>
    </w:p>
    <w:p>
      <w:pPr>
        <w:spacing w:after="200" w:line="276" w:lineRule="auto"/>
      </w:pPr>
      <w:r>
        <w:t>D. Tachycardia only — correct in another context, but not for this patient/drug link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Venlafaxine can cause which cardiovascular effect at higher doses?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Sustained hypertension (dose-related)</w:t>
      </w:r>
    </w:p>
    <w:p>
      <w:pPr>
        <w:spacing w:after="200" w:line="276" w:lineRule="auto"/>
      </w:pPr>
      <w:r>
        <w:t>(c) Hypotension only</w:t>
      </w:r>
    </w:p>
    <w:p>
      <w:pPr>
        <w:spacing w:after="200" w:line="276" w:lineRule="auto"/>
      </w:pPr>
      <w:r>
        <w:t>(d) No effect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Sustained hypertension (dose-related)</w:t>
      </w:r>
    </w:p>
    <w:p>
      <w:pPr>
        <w:spacing w:after="200" w:line="276" w:lineRule="auto"/>
      </w:pPr>
      <w:r>
        <w:t>🧠 Clinical Rationale: SNRI venlafaxine raises BP dose-dependently — monitor BP; abrupt stop causes discontinuation syndrome.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Venlafaxine - Blood Pressure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Sustained hypertension (dose-related)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correct in another context, but not for this patient/drug link</w:t>
      </w:r>
    </w:p>
    <w:p>
      <w:pPr>
        <w:spacing w:after="200" w:line="276" w:lineRule="auto"/>
      </w:pPr>
      <w:r>
        <w:t>C. Hypotension only — correct in another context, but not for this patient/drug link</w:t>
      </w:r>
    </w:p>
    <w:p>
      <w:pPr>
        <w:spacing w:after="200" w:line="276" w:lineRule="auto"/>
      </w:pPr>
      <w:r>
        <w:t>D. No effect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Fluoxetine has a long half-life (active metabolite ~7-9 days), so</w:t>
      </w:r>
    </w:p>
    <w:p>
      <w:pPr>
        <w:spacing w:after="200" w:line="276" w:lineRule="auto"/>
      </w:pPr>
      <w:r>
        <w:t>(a) It is safe to overlap freely</w:t>
      </w:r>
    </w:p>
    <w:p>
      <w:pPr>
        <w:spacing w:after="200" w:line="276" w:lineRule="auto"/>
      </w:pPr>
      <w:r>
        <w:t>(b) No washout is needed</w:t>
      </w:r>
    </w:p>
    <w:p>
      <w:pPr>
        <w:spacing w:after="200" w:line="276" w:lineRule="auto"/>
      </w:pPr>
      <w:r>
        <w:t>(c) It acts instantly</w:t>
      </w:r>
    </w:p>
    <w:p>
      <w:pPr>
        <w:spacing w:after="200" w:line="276" w:lineRule="auto"/>
      </w:pPr>
      <w:r>
        <w:t>(d) Switching to a MAOI requires a washout to avoid serotonin syndrome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Switching to a MAOI requires a washout to avoid serotonin syndrome</w:t>
      </w:r>
    </w:p>
    <w:p>
      <w:pPr>
        <w:spacing w:after="200" w:line="276" w:lineRule="auto"/>
      </w:pPr>
      <w:r>
        <w:t>🧠 Clinical Rationale: Fluoxetine's long-acting norfluoxetine mandates a 5-week washout before MAOIs.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Fluoxetine - Half-Life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Switching to a MAOI requires a washout to avoid serotonin syndrome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safe to overlap freely — correct in another context, but not for this patient/drug link</w:t>
      </w:r>
    </w:p>
    <w:p>
      <w:pPr>
        <w:spacing w:after="200" w:line="276" w:lineRule="auto"/>
      </w:pPr>
      <w:r>
        <w:t>B. No washout is needed — correct in another context, but not for this patient/drug link</w:t>
      </w:r>
    </w:p>
    <w:p>
      <w:pPr>
        <w:spacing w:after="200" w:line="276" w:lineRule="auto"/>
      </w:pPr>
      <w:r>
        <w:t>C. It acts instantly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Mirtazapine is preferred in depressed patients with</w:t>
      </w:r>
    </w:p>
    <w:p>
      <w:pPr>
        <w:spacing w:after="200" w:line="276" w:lineRule="auto"/>
      </w:pPr>
      <w:r>
        <w:t>(a) Severe hypertension</w:t>
      </w:r>
    </w:p>
    <w:p>
      <w:pPr>
        <w:spacing w:after="200" w:line="276" w:lineRule="auto"/>
      </w:pPr>
      <w:r>
        <w:t>(b) Narrow-angle glaucoma</w:t>
      </w:r>
    </w:p>
    <w:p>
      <w:pPr>
        <w:spacing w:after="200" w:line="276" w:lineRule="auto"/>
      </w:pPr>
      <w:r>
        <w:t>(c) Urinary retention</w:t>
      </w:r>
    </w:p>
    <w:p>
      <w:pPr>
        <w:spacing w:after="200" w:line="276" w:lineRule="auto"/>
      </w:pPr>
      <w:r>
        <w:t>(d) Insomnia and poor appetite (sedating, increases appetite)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Insomnia and poor appetite (sedating, increases appetite)</w:t>
      </w:r>
    </w:p>
    <w:p>
      <w:pPr>
        <w:spacing w:after="200" w:line="276" w:lineRule="auto"/>
      </w:pPr>
      <w:r>
        <w:t>🧠 Clinical Rationale: Mirtazapine's H1 antagonism aids sleep and appetite; useful in underweight/elderly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Mirtazapine - Profile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Insomnia and poor appetite (sedating, increases appetite)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Severe hypertension — correct in another context, but not for this patient/drug link</w:t>
      </w:r>
    </w:p>
    <w:p>
      <w:pPr>
        <w:spacing w:after="200" w:line="276" w:lineRule="auto"/>
      </w:pPr>
      <w:r>
        <w:t>B. Narrow-angle glaucoma — correct in another context, but not for this patient/drug link</w:t>
      </w:r>
    </w:p>
    <w:p>
      <w:pPr>
        <w:spacing w:after="200" w:line="276" w:lineRule="auto"/>
      </w:pPr>
      <w:r>
        <w:t>C. Urinary retention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Buspirone for anxiety has the advantage of</w:t>
      </w:r>
    </w:p>
    <w:p>
      <w:pPr>
        <w:spacing w:after="200" w:line="276" w:lineRule="auto"/>
      </w:pPr>
      <w:r>
        <w:t>(a) Rapid 5-minute onset</w:t>
      </w:r>
    </w:p>
    <w:p>
      <w:pPr>
        <w:spacing w:after="200" w:line="276" w:lineRule="auto"/>
      </w:pPr>
      <w:r>
        <w:t>(b) No sedation, dependence or withdrawal (non-benzodiazepine anxiolytic)</w:t>
      </w:r>
    </w:p>
    <w:p>
      <w:pPr>
        <w:spacing w:after="200" w:line="276" w:lineRule="auto"/>
      </w:pPr>
      <w:r>
        <w:t>(c) Strong sedation</w:t>
      </w:r>
    </w:p>
    <w:p>
      <w:pPr>
        <w:spacing w:after="200" w:line="276" w:lineRule="auto"/>
      </w:pPr>
      <w:r>
        <w:t>(d) Muscle relaxation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 sedation, dependence or withdrawal (non-benzodiazepine anxiolytic)</w:t>
      </w:r>
    </w:p>
    <w:p>
      <w:pPr>
        <w:spacing w:after="200" w:line="276" w:lineRule="auto"/>
      </w:pPr>
      <w:r>
        <w:t>🧠 Clinical Rationale: Buspirone acts on 5-HT1A — takes 2-4 weeks, no tolerance/dependence; useful in anxiety without abuse potential.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Buspirone - Advantage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No sedation, dependence or withdrawal (non-benzodiazepine anxiolytic)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5-minute onset — correct in another context, but not for this patient/drug link</w:t>
      </w:r>
    </w:p>
    <w:p>
      <w:pPr>
        <w:spacing w:after="200" w:line="276" w:lineRule="auto"/>
      </w:pPr>
      <w:r>
        <w:t>C. Strong sedation — correct in another context, but not for this patient/drug link</w:t>
      </w:r>
    </w:p>
    <w:p>
      <w:pPr>
        <w:spacing w:after="200" w:line="276" w:lineRule="auto"/>
      </w:pPr>
      <w:r>
        <w:t>D. Muscle relaxation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