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Pre-operative fasting for clear liquids is typically</w:t>
      </w:r>
    </w:p>
    <w:p>
      <w:pPr>
        <w:spacing w:after="200" w:line="276" w:lineRule="auto"/>
      </w:pPr>
      <w:r>
        <w:t>(a) 12 hours</w:t>
      </w:r>
    </w:p>
    <w:p>
      <w:pPr>
        <w:spacing w:after="200" w:line="276" w:lineRule="auto"/>
      </w:pPr>
      <w:r>
        <w:t>(b) 24 hours</w:t>
      </w:r>
    </w:p>
    <w:p>
      <w:pPr>
        <w:spacing w:after="200" w:line="276" w:lineRule="auto"/>
      </w:pPr>
      <w:r>
        <w:t>(c) No fasting</w:t>
      </w:r>
    </w:p>
    <w:p>
      <w:pPr>
        <w:spacing w:after="200" w:line="276" w:lineRule="auto"/>
      </w:pPr>
      <w:r>
        <w:t>(d) 2 hours before anaesthesia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 hours before anaesthesia</w:t>
      </w:r>
    </w:p>
    <w:p>
      <w:pPr>
        <w:spacing w:after="200" w:line="276" w:lineRule="auto"/>
      </w:pPr>
      <w:r>
        <w:t>🧠 Clinical Rationale: 2-4-6 rule: 2 h clear liquids, 4 h breast milk, 6 h light meal — reduces aspiration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Pre-op - NPO Status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2 hours before anaesthesia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hours — correct in another context, but not for this patient/drug link</w:t>
      </w:r>
    </w:p>
    <w:p>
      <w:pPr>
        <w:spacing w:after="200" w:line="276" w:lineRule="auto"/>
      </w:pPr>
      <w:r>
        <w:t>B. 24 hours — correct in another context, but not for this patient/drug link</w:t>
      </w:r>
    </w:p>
    <w:p>
      <w:pPr>
        <w:spacing w:after="200" w:line="276" w:lineRule="auto"/>
      </w:pPr>
      <w:r>
        <w:t>C. No fasting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WHO Surgical Safety Checklist includes</w:t>
      </w:r>
    </w:p>
    <w:p>
      <w:pPr>
        <w:spacing w:after="200" w:line="276" w:lineRule="auto"/>
      </w:pPr>
      <w:r>
        <w:t>(a) Only the surgery date</w:t>
      </w:r>
    </w:p>
    <w:p>
      <w:pPr>
        <w:spacing w:after="200" w:line="276" w:lineRule="auto"/>
      </w:pPr>
      <w:r>
        <w:t>(b) Patient identity, site marking, anaesthesia safety and team briefing</w:t>
      </w:r>
    </w:p>
    <w:p>
      <w:pPr>
        <w:spacing w:after="200" w:line="276" w:lineRule="auto"/>
      </w:pPr>
      <w:r>
        <w:t>(c) Only consent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Patient identity, site marking, anaesthesia safety and team briefing</w:t>
      </w:r>
    </w:p>
    <w:p>
      <w:pPr>
        <w:spacing w:after="200" w:line="276" w:lineRule="auto"/>
      </w:pPr>
      <w:r>
        <w:t>🧠 Clinical Rationale: Sign-in, time-out and sign-out phases verify identity, site, allergies and counts.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Pre-op - Checklist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Patient identity, site marking, anaesthesia safety and team briefing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surgery date — correct in another context, but not for this patient/drug link</w:t>
      </w:r>
    </w:p>
    <w:p>
      <w:pPr>
        <w:spacing w:after="200" w:line="276" w:lineRule="auto"/>
      </w:pPr>
      <w:r>
        <w:t>C. Only consent — correct in another context, but not for this patient/drug link</w:t>
      </w:r>
    </w:p>
    <w:p>
      <w:pPr>
        <w:spacing w:after="200" w:line="276" w:lineRule="auto"/>
      </w:pPr>
      <w:r>
        <w:t>D. Nothing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immediate post-operative period, the priority is to maintain</w:t>
      </w:r>
    </w:p>
    <w:p>
      <w:pPr>
        <w:spacing w:after="200" w:line="276" w:lineRule="auto"/>
      </w:pPr>
      <w:r>
        <w:t>(a) Comfort</w:t>
      </w:r>
    </w:p>
    <w:p>
      <w:pPr>
        <w:spacing w:after="200" w:line="276" w:lineRule="auto"/>
      </w:pPr>
      <w:r>
        <w:t>(b) Nutrition</w:t>
      </w:r>
    </w:p>
    <w:p>
      <w:pPr>
        <w:spacing w:after="200" w:line="276" w:lineRule="auto"/>
      </w:pPr>
      <w:r>
        <w:t>(c) Airway, breathing and circulation</w:t>
      </w:r>
    </w:p>
    <w:p>
      <w:pPr>
        <w:spacing w:after="200" w:line="276" w:lineRule="auto"/>
      </w:pPr>
      <w:r>
        <w:t>(d) Mobilisation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Airway, breathing and circulation</w:t>
      </w:r>
    </w:p>
    <w:p>
      <w:pPr>
        <w:spacing w:after="200" w:line="276" w:lineRule="auto"/>
      </w:pPr>
      <w:r>
        <w:t>🧠 Clinical Rationale: ABC plus monitoring of anaesthesia recovery, bleeding, pain and vitals.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Post-op - First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Airway, breathing and circulation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Comfort — correct in another context, but not for this patient/drug link</w:t>
      </w:r>
    </w:p>
    <w:p>
      <w:pPr>
        <w:spacing w:after="200" w:line="276" w:lineRule="auto"/>
      </w:pPr>
      <w:r>
        <w:t>B. Nutrition — correct in another context, but not for this patient/drug link</w:t>
      </w:r>
    </w:p>
    <w:p>
      <w:pPr>
        <w:spacing w:after="200" w:line="276" w:lineRule="auto"/>
      </w:pPr>
      <w:r>
        <w:t>D. Mobilisation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wound assessment should document</w:t>
      </w:r>
    </w:p>
    <w:p>
      <w:pPr>
        <w:spacing w:after="200" w:line="276" w:lineRule="auto"/>
      </w:pPr>
      <w:r>
        <w:t>(a) Only colour</w:t>
      </w:r>
    </w:p>
    <w:p>
      <w:pPr>
        <w:spacing w:after="200" w:line="276" w:lineRule="auto"/>
      </w:pPr>
      <w:r>
        <w:t>(b) Only pain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Size, depth, exudate, odour, surrounding skin, edges and signs of infection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Size, depth, exudate, odour, surrounding skin, edges and signs of infection</w:t>
      </w:r>
    </w:p>
    <w:p>
      <w:pPr>
        <w:spacing w:after="200" w:line="276" w:lineRule="auto"/>
      </w:pPr>
      <w:r>
        <w:t>🧠 Clinical Rationale: Describe wounds objectively; photographs and measurement improve tracking.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Wound - Assessment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Size, depth, exudate, odour, surrounding skin, edges and signs of infection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colour — correct in another context, but not for this patient/drug link</w:t>
      </w:r>
    </w:p>
    <w:p>
      <w:pPr>
        <w:spacing w:after="200" w:line="276" w:lineRule="auto"/>
      </w:pPr>
      <w:r>
        <w:t>B. Only pain — correct in another context, but not for this patient/drug link</w:t>
      </w:r>
    </w:p>
    <w:p>
      <w:pPr>
        <w:spacing w:after="200" w:line="276" w:lineRule="auto"/>
      </w:pPr>
      <w:r>
        <w:t>C. Nothing — correct in another context, but not for this patient/drug link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phase of wound healing is</w:t>
      </w:r>
    </w:p>
    <w:p>
      <w:pPr>
        <w:spacing w:after="200" w:line="276" w:lineRule="auto"/>
      </w:pPr>
      <w:r>
        <w:t>(a) Proliferation</w:t>
      </w:r>
    </w:p>
    <w:p>
      <w:pPr>
        <w:spacing w:after="200" w:line="276" w:lineRule="auto"/>
      </w:pPr>
      <w:r>
        <w:t>(b) Maturation</w:t>
      </w:r>
    </w:p>
    <w:p>
      <w:pPr>
        <w:spacing w:after="200" w:line="276" w:lineRule="auto"/>
      </w:pPr>
      <w:r>
        <w:t>(c) No phase</w:t>
      </w:r>
    </w:p>
    <w:p>
      <w:pPr>
        <w:spacing w:after="200" w:line="276" w:lineRule="auto"/>
      </w:pPr>
      <w:r>
        <w:t>(d) Haemostasis/inflammatory phase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Haemostasis/inflammatory phase</w:t>
      </w:r>
    </w:p>
    <w:p>
      <w:pPr>
        <w:spacing w:after="200" w:line="276" w:lineRule="auto"/>
      </w:pPr>
      <w:r>
        <w:t>🧠 Clinical Rationale: Haemostasis and inflammation (days 0-3) precede proliferation (granulation) and maturation (remodelling).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Wound - Healing Phase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Haemostasis/inflammatory phase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Proliferation — correct in another context, but not for this patient/drug link</w:t>
      </w:r>
    </w:p>
    <w:p>
      <w:pPr>
        <w:spacing w:after="200" w:line="276" w:lineRule="auto"/>
      </w:pPr>
      <w:r>
        <w:t>B. Maturation — correct in another context, but not for this patient/drug link</w:t>
      </w:r>
    </w:p>
    <w:p>
      <w:pPr>
        <w:spacing w:after="200" w:line="276" w:lineRule="auto"/>
      </w:pPr>
      <w:r>
        <w:t>C. No phase — correct in another context, but not for this patient/drug link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caring for a surgical drain, the nurse must</w:t>
      </w:r>
    </w:p>
    <w:p>
      <w:pPr>
        <w:spacing w:after="200" w:line="276" w:lineRule="auto"/>
      </w:pPr>
      <w:r>
        <w:t>(a) Maintain patency, secure position, measure output and keep the exit site clean</w:t>
      </w:r>
    </w:p>
    <w:p>
      <w:pPr>
        <w:spacing w:after="200" w:line="276" w:lineRule="auto"/>
      </w:pPr>
      <w:r>
        <w:t>(b) Clamp it always</w:t>
      </w:r>
    </w:p>
    <w:p>
      <w:pPr>
        <w:spacing w:after="200" w:line="276" w:lineRule="auto"/>
      </w:pPr>
      <w:r>
        <w:t>(c) Empty it hourly</w:t>
      </w:r>
    </w:p>
    <w:p>
      <w:pPr>
        <w:spacing w:after="200" w:line="276" w:lineRule="auto"/>
      </w:pPr>
      <w:r>
        <w:t>(d) Remove it at once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Maintain patency, secure position, measure output and keep the exit site clean</w:t>
      </w:r>
    </w:p>
    <w:p>
      <w:pPr>
        <w:spacing w:after="200" w:line="276" w:lineRule="auto"/>
      </w:pPr>
      <w:r>
        <w:t>🧠 Clinical Rationale: Milking/patency, aseptic technique and output documentation prevent blockage and infection.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Drain -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Maintain patency, secure position, measure output and keep the exit site clean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Clamp it always — correct in another context, but not for this patient/drug link</w:t>
      </w:r>
    </w:p>
    <w:p>
      <w:pPr>
        <w:spacing w:after="200" w:line="276" w:lineRule="auto"/>
      </w:pPr>
      <w:r>
        <w:t>C. Empty it hourly — correct in another context, but not for this patient/drug link</w:t>
      </w:r>
    </w:p>
    <w:p>
      <w:pPr>
        <w:spacing w:after="200" w:line="276" w:lineRule="auto"/>
      </w:pPr>
      <w:r>
        <w:t>D. Remove it at once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Skin sutures on the face are usually removed after</w:t>
      </w:r>
    </w:p>
    <w:p>
      <w:pPr>
        <w:spacing w:after="200" w:line="276" w:lineRule="auto"/>
      </w:pPr>
      <w:r>
        <w:t>(a) 3-5 days</w:t>
      </w:r>
    </w:p>
    <w:p>
      <w:pPr>
        <w:spacing w:after="200" w:line="276" w:lineRule="auto"/>
      </w:pPr>
      <w:r>
        <w:t>(b) 14-21 days</w:t>
      </w:r>
    </w:p>
    <w:p>
      <w:pPr>
        <w:spacing w:after="200" w:line="276" w:lineRule="auto"/>
      </w:pPr>
      <w:r>
        <w:t>(c) 1 month</w:t>
      </w:r>
    </w:p>
    <w:p>
      <w:pPr>
        <w:spacing w:after="200" w:line="276" w:lineRule="auto"/>
      </w:pPr>
      <w:r>
        <w:t>(d) Immediately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3-5 days</w:t>
      </w:r>
    </w:p>
    <w:p>
      <w:pPr>
        <w:spacing w:after="200" w:line="276" w:lineRule="auto"/>
      </w:pPr>
      <w:r>
        <w:t>🧠 Clinical Rationale: Face 3-5 days, scalp/trunk 7 days, extremities 7-10 days, joints 14 days.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Suture - Removal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3-5 days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14-21 days — correct in another context, but not for this patient/drug link</w:t>
      </w:r>
    </w:p>
    <w:p>
      <w:pPr>
        <w:spacing w:after="200" w:line="276" w:lineRule="auto"/>
      </w:pPr>
      <w:r>
        <w:t>C. 1 month — correct in another context, but not for this patient/drug link</w:t>
      </w:r>
    </w:p>
    <w:p>
      <w:pPr>
        <w:spacing w:after="200" w:line="276" w:lineRule="auto"/>
      </w:pPr>
      <w:r>
        <w:t>D. Immediately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widely used pressure ulcer risk assessment scale is</w:t>
      </w:r>
    </w:p>
    <w:p>
      <w:pPr>
        <w:spacing w:after="200" w:line="276" w:lineRule="auto"/>
      </w:pPr>
      <w:r>
        <w:t>(a) GCS</w:t>
      </w:r>
    </w:p>
    <w:p>
      <w:pPr>
        <w:spacing w:after="200" w:line="276" w:lineRule="auto"/>
      </w:pPr>
      <w:r>
        <w:t>(b) Braden Scale</w:t>
      </w:r>
    </w:p>
    <w:p>
      <w:pPr>
        <w:spacing w:after="200" w:line="276" w:lineRule="auto"/>
      </w:pPr>
      <w:r>
        <w:t>(c) AIMS</w:t>
      </w:r>
    </w:p>
    <w:p>
      <w:pPr>
        <w:spacing w:after="200" w:line="276" w:lineRule="auto"/>
      </w:pPr>
      <w:r>
        <w:t>(d) MMSE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Braden Scale</w:t>
      </w:r>
    </w:p>
    <w:p>
      <w:pPr>
        <w:spacing w:after="200" w:line="276" w:lineRule="auto"/>
      </w:pPr>
      <w:r>
        <w:t>🧠 Clinical Rationale: Braden scores sensory perception, moisture, activity, mobility, nutrition and friction/shear.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Pressure Ulcer - Risk Tool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Braden Scale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GCS — correct in another context, but not for this patient/drug link</w:t>
      </w:r>
    </w:p>
    <w:p>
      <w:pPr>
        <w:spacing w:after="200" w:line="276" w:lineRule="auto"/>
      </w:pPr>
      <w:r>
        <w:t>C. AIMS — correct in another context, but not for this patient/drug link</w:t>
      </w:r>
    </w:p>
    <w:p>
      <w:pPr>
        <w:spacing w:after="200" w:line="276" w:lineRule="auto"/>
      </w:pPr>
      <w:r>
        <w:t>D. MMSE — correct in another context, but not for this patient/drug link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Stage 1 pressure injury is characterised by</w:t>
      </w:r>
    </w:p>
    <w:p>
      <w:pPr>
        <w:spacing w:after="200" w:line="276" w:lineRule="auto"/>
      </w:pPr>
      <w:r>
        <w:t>(a) Full-thickness skin loss</w:t>
      </w:r>
    </w:p>
    <w:p>
      <w:pPr>
        <w:spacing w:after="200" w:line="276" w:lineRule="auto"/>
      </w:pPr>
      <w:r>
        <w:t>(b) Non-blanchable erythema over intact skin</w:t>
      </w:r>
    </w:p>
    <w:p>
      <w:pPr>
        <w:spacing w:after="200" w:line="276" w:lineRule="auto"/>
      </w:pPr>
      <w:r>
        <w:t>(c) Visible fat</w:t>
      </w:r>
    </w:p>
    <w:p>
      <w:pPr>
        <w:spacing w:after="200" w:line="276" w:lineRule="auto"/>
      </w:pPr>
      <w:r>
        <w:t>(d) Bone exposure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Non-blanchable erythema over intact skin</w:t>
      </w:r>
    </w:p>
    <w:p>
      <w:pPr>
        <w:spacing w:after="200" w:line="276" w:lineRule="auto"/>
      </w:pPr>
      <w:r>
        <w:t>🧠 Clinical Rationale: Stage 1: intact skin with localised redness that does not blanch; repositioning is key.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Pressure Ulcer - Stage 1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Non-blanchable erythema over intact skin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Full-thickness skin loss — correct in another context, but not for this patient/drug link</w:t>
      </w:r>
    </w:p>
    <w:p>
      <w:pPr>
        <w:spacing w:after="200" w:line="276" w:lineRule="auto"/>
      </w:pPr>
      <w:r>
        <w:t>C. Visible fat — correct in another context, but not for this patient/drug link</w:t>
      </w:r>
    </w:p>
    <w:p>
      <w:pPr>
        <w:spacing w:after="200" w:line="276" w:lineRule="auto"/>
      </w:pPr>
      <w:r>
        <w:t>D. Bone exposure — correct in another context, but not for this patient/drug link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an immobile patient, repositioning is recommended every</w:t>
      </w:r>
    </w:p>
    <w:p>
      <w:pPr>
        <w:spacing w:after="200" w:line="276" w:lineRule="auto"/>
      </w:pPr>
      <w:r>
        <w:t>(a) 12 hours</w:t>
      </w:r>
    </w:p>
    <w:p>
      <w:pPr>
        <w:spacing w:after="200" w:line="276" w:lineRule="auto"/>
      </w:pPr>
      <w:r>
        <w:t>(b) 24 hours</w:t>
      </w:r>
    </w:p>
    <w:p>
      <w:pPr>
        <w:spacing w:after="200" w:line="276" w:lineRule="auto"/>
      </w:pPr>
      <w:r>
        <w:t>(c) 2 hours (with pressure-relieving surfaces)</w:t>
      </w:r>
    </w:p>
    <w:p>
      <w:pPr>
        <w:spacing w:after="200" w:line="276" w:lineRule="auto"/>
      </w:pPr>
      <w:r>
        <w:t>(d) Once a week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 hours (with pressure-relieving surfaces)</w:t>
      </w:r>
    </w:p>
    <w:p>
      <w:pPr>
        <w:spacing w:after="200" w:line="276" w:lineRule="auto"/>
      </w:pPr>
      <w:r>
        <w:t>🧠 Clinical Rationale: Regular 2-hourly turns redistribute pressure; support surfaces reduce risk further.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Repositioning - Frequency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2 hours (with pressure-relieving surfaces)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hours — correct in another context, but not for this patient/drug link</w:t>
      </w:r>
    </w:p>
    <w:p>
      <w:pPr>
        <w:spacing w:after="200" w:line="276" w:lineRule="auto"/>
      </w:pPr>
      <w:r>
        <w:t>B. 24 hours — correct in another context, but not for this patient/drug link</w:t>
      </w:r>
    </w:p>
    <w:p>
      <w:pPr>
        <w:spacing w:after="200" w:line="276" w:lineRule="auto"/>
      </w:pPr>
      <w:r>
        <w:t>D. Once a week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central line bundle includes</w:t>
      </w:r>
    </w:p>
    <w:p>
      <w:pPr>
        <w:spacing w:after="200" w:line="276" w:lineRule="auto"/>
      </w:pPr>
      <w:r>
        <w:t>(a) Weekly line changes</w:t>
      </w:r>
    </w:p>
    <w:p>
      <w:pPr>
        <w:spacing w:after="200" w:line="276" w:lineRule="auto"/>
      </w:pPr>
      <w:r>
        <w:t>(b) No dressing</w:t>
      </w:r>
    </w:p>
    <w:p>
      <w:pPr>
        <w:spacing w:after="200" w:line="276" w:lineRule="auto"/>
      </w:pPr>
      <w:r>
        <w:t>(c) Hand hygiene, maximal barrier, CHG skin prep, femoral avoidance and daily review</w:t>
      </w:r>
    </w:p>
    <w:p>
      <w:pPr>
        <w:spacing w:after="200" w:line="276" w:lineRule="auto"/>
      </w:pPr>
      <w:r>
        <w:t>(d) Antibiotics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Hand hygiene, maximal barrier, CHG skin prep, femoral avoidance and daily review</w:t>
      </w:r>
    </w:p>
    <w:p>
      <w:pPr>
        <w:spacing w:after="200" w:line="276" w:lineRule="auto"/>
      </w:pPr>
      <w:r>
        <w:t>🧠 Clinical Rationale: The 5-element bundle markedly reduces catheter-related bloodstream infection.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CLABSI - Prevention Bundle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Hand hygiene, maximal barrier, CHG skin prep, femoral avoidance and daily review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Weekly line changes — correct in another context, but not for this patient/drug link</w:t>
      </w:r>
    </w:p>
    <w:p>
      <w:pPr>
        <w:spacing w:after="200" w:line="276" w:lineRule="auto"/>
      </w:pPr>
      <w:r>
        <w:t>B. No dressing — correct in another context, but not for this patient/drug link</w:t>
      </w:r>
    </w:p>
    <w:p>
      <w:pPr>
        <w:spacing w:after="200" w:line="276" w:lineRule="auto"/>
      </w:pPr>
      <w:r>
        <w:t>D. Antibiotics only — correct in another context, but not for this patient/drug link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key strategy to prevent catheter-associated UTI is</w:t>
      </w:r>
    </w:p>
    <w:p>
      <w:pPr>
        <w:spacing w:after="200" w:line="276" w:lineRule="auto"/>
      </w:pPr>
      <w:r>
        <w:t>(a) Remove the catheter as soon as possible (indication-based)</w:t>
      </w:r>
    </w:p>
    <w:p>
      <w:pPr>
        <w:spacing w:after="200" w:line="276" w:lineRule="auto"/>
      </w:pPr>
      <w:r>
        <w:t>(b) Routine catheter change</w:t>
      </w:r>
    </w:p>
    <w:p>
      <w:pPr>
        <w:spacing w:after="200" w:line="276" w:lineRule="auto"/>
      </w:pPr>
      <w:r>
        <w:t>(c) Antibiotics prophylactically</w:t>
      </w:r>
    </w:p>
    <w:p>
      <w:pPr>
        <w:spacing w:after="200" w:line="276" w:lineRule="auto"/>
      </w:pPr>
      <w:r>
        <w:t>(d) Open drainage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Remove the catheter as soon as possible (indication-based)</w:t>
      </w:r>
    </w:p>
    <w:p>
      <w:pPr>
        <w:spacing w:after="200" w:line="276" w:lineRule="auto"/>
      </w:pPr>
      <w:r>
        <w:t>🧠 Clinical Rationale: Daily review and early removal; closed sterile system and meatal hygiene.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CAUTI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Remove the catheter as soon as possible (indication-based)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Routine catheter change — correct in another context, but not for this patient/drug link</w:t>
      </w:r>
    </w:p>
    <w:p>
      <w:pPr>
        <w:spacing w:after="200" w:line="276" w:lineRule="auto"/>
      </w:pPr>
      <w:r>
        <w:t>C. Antibiotics prophylactically — correct in another context, but not for this patient/drug link</w:t>
      </w:r>
    </w:p>
    <w:p>
      <w:pPr>
        <w:spacing w:after="200" w:line="276" w:lineRule="auto"/>
      </w:pPr>
      <w:r>
        <w:t>D. Open drainage — correct in another context, but not for this patient/drug link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UTI</w:t>
      </w:r>
    </w:p>
    <w:p>
      <w:pPr>
        <w:spacing w:after="200" w:line="276" w:lineRule="auto"/>
      </w:pPr>
      <w:r>
        <w:t>→ Organism: E. coli (most common)</w:t>
      </w:r>
    </w:p>
    <w:p>
      <w:pPr>
        <w:spacing w:after="200" w:line="276" w:lineRule="auto"/>
      </w:pPr>
      <w:r>
        <w:t>→ Specimen: clean-catch midstream, first morning sample</w:t>
      </w:r>
    </w:p>
    <w:p>
      <w:pPr>
        <w:spacing w:after="200" w:line="276" w:lineRule="auto"/>
      </w:pPr>
      <w:r>
        <w:t>→ Catheter care: bag below bladder level, keep system closed, perineal hygiene</w:t>
      </w:r>
    </w:p>
    <w:p>
      <w:pPr>
        <w:spacing w:after="200" w:line="276" w:lineRule="auto"/>
      </w:pPr>
      <w:r>
        <w:t>→ Encourage fluids and frequent voiding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Ventilator-associated pneumonia is prevented by</w:t>
      </w:r>
    </w:p>
    <w:p>
      <w:pPr>
        <w:spacing w:after="200" w:line="276" w:lineRule="auto"/>
      </w:pPr>
      <w:r>
        <w:t>(a) Supine positioning</w:t>
      </w:r>
    </w:p>
    <w:p>
      <w:pPr>
        <w:spacing w:after="200" w:line="276" w:lineRule="auto"/>
      </w:pPr>
      <w:r>
        <w:t>(b) Elevating the head 30-45°, oral care with CHG and sedation breaks</w:t>
      </w:r>
    </w:p>
    <w:p>
      <w:pPr>
        <w:spacing w:after="200" w:line="276" w:lineRule="auto"/>
      </w:pPr>
      <w:r>
        <w:t>(c) No oral care</w:t>
      </w:r>
    </w:p>
    <w:p>
      <w:pPr>
        <w:spacing w:after="200" w:line="276" w:lineRule="auto"/>
      </w:pPr>
      <w:r>
        <w:t>(d) Frequent circuit changes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Elevating the head 30-45°, oral care with CHG and sedation breaks</w:t>
      </w:r>
    </w:p>
    <w:p>
      <w:pPr>
        <w:spacing w:after="200" w:line="276" w:lineRule="auto"/>
      </w:pPr>
      <w:r>
        <w:t>🧠 Clinical Rationale: The VAP bundle reduces aspiration and colonisation; avoid routine circuit change.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VAP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Elevating the head 30-45°, oral care with CHG and sedation breaks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positioning — correct in another context, but not for this patient/drug link</w:t>
      </w:r>
    </w:p>
    <w:p>
      <w:pPr>
        <w:spacing w:after="200" w:line="276" w:lineRule="auto"/>
      </w:pPr>
      <w:r>
        <w:t>C. No oral care — correct in another context, but not for this patient/drug link</w:t>
      </w:r>
    </w:p>
    <w:p>
      <w:pPr>
        <w:spacing w:after="200" w:line="276" w:lineRule="auto"/>
      </w:pPr>
      <w:r>
        <w:t>D. Frequent circuit changes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Surgical site infection is reduced by</w:t>
      </w:r>
    </w:p>
    <w:p>
      <w:pPr>
        <w:spacing w:after="200" w:line="276" w:lineRule="auto"/>
      </w:pPr>
      <w:r>
        <w:t>(a) Delaying antibiotics</w:t>
      </w:r>
    </w:p>
    <w:p>
      <w:pPr>
        <w:spacing w:after="200" w:line="276" w:lineRule="auto"/>
      </w:pPr>
      <w:r>
        <w:t>(b) Hypothermia</w:t>
      </w:r>
    </w:p>
    <w:p>
      <w:pPr>
        <w:spacing w:after="200" w:line="276" w:lineRule="auto"/>
      </w:pPr>
      <w:r>
        <w:t>(c) Appropriate antibiotic prophylaxis, normothermia, glycaemic control and asepsis</w:t>
      </w:r>
    </w:p>
    <w:p>
      <w:pPr>
        <w:spacing w:after="200" w:line="276" w:lineRule="auto"/>
      </w:pPr>
      <w:r>
        <w:t>(d) No skin prep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Appropriate antibiotic prophylaxis, normothermia, glycaemic control and asepsis</w:t>
      </w:r>
    </w:p>
    <w:p>
      <w:pPr>
        <w:spacing w:after="200" w:line="276" w:lineRule="auto"/>
      </w:pPr>
      <w:r>
        <w:t>🧠 Clinical Rationale: Perioperative bundles (antibiotics within 60 min, hair removal by clippers, normothermia) cut SSI.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SSI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Appropriate antibiotic prophylaxis, normothermia, glycaemic control and asepsis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Delaying antibiotics — correct in another context, but not for this patient/drug link</w:t>
      </w:r>
    </w:p>
    <w:p>
      <w:pPr>
        <w:spacing w:after="200" w:line="276" w:lineRule="auto"/>
      </w:pPr>
      <w:r>
        <w:t>B. Hypothermia — correct in another context, but not for this patient/drug link</w:t>
      </w:r>
    </w:p>
    <w:p>
      <w:pPr>
        <w:spacing w:after="200" w:line="276" w:lineRule="auto"/>
      </w:pPr>
      <w:r>
        <w:t>D. No skin prep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Healthcare-associated infection surveillance involves</w:t>
      </w:r>
    </w:p>
    <w:p>
      <w:pPr>
        <w:spacing w:after="200" w:line="276" w:lineRule="auto"/>
      </w:pPr>
      <w:r>
        <w:t>(a) Random guessing</w:t>
      </w:r>
    </w:p>
    <w:p>
      <w:pPr>
        <w:spacing w:after="200" w:line="276" w:lineRule="auto"/>
      </w:pPr>
      <w:r>
        <w:t>(b) Only treating cases</w:t>
      </w:r>
    </w:p>
    <w:p>
      <w:pPr>
        <w:spacing w:after="200" w:line="276" w:lineRule="auto"/>
      </w:pPr>
      <w:r>
        <w:t>(c) Systematic data collection on infection rates with feedback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Systematic data collection on infection rates with feedback</w:t>
      </w:r>
    </w:p>
    <w:p>
      <w:pPr>
        <w:spacing w:after="200" w:line="276" w:lineRule="auto"/>
      </w:pPr>
      <w:r>
        <w:t>🧠 Clinical Rationale: Surveillance (incidence, device days, pathogens) drives prevention programmes.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HAI - Surveillance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Systematic data collection on infection rates with feedback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Random guessing — correct in another context, but not for this patient/drug link</w:t>
      </w:r>
    </w:p>
    <w:p>
      <w:pPr>
        <w:spacing w:after="200" w:line="276" w:lineRule="auto"/>
      </w:pPr>
      <w:r>
        <w:t>B. Only treating cases — correct in another context, but not for this patient/drug link</w:t>
      </w:r>
    </w:p>
    <w:p>
      <w:pPr>
        <w:spacing w:after="200" w:line="276" w:lineRule="auto"/>
      </w:pPr>
      <w:r>
        <w:t>D. No monitoring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Antimicrobial stewardship aims to</w:t>
      </w:r>
    </w:p>
    <w:p>
      <w:pPr>
        <w:spacing w:after="200" w:line="276" w:lineRule="auto"/>
      </w:pPr>
      <w:r>
        <w:t>(a) Prescribe more antibiotics</w:t>
      </w:r>
    </w:p>
    <w:p>
      <w:pPr>
        <w:spacing w:after="200" w:line="276" w:lineRule="auto"/>
      </w:pPr>
      <w:r>
        <w:t>(b) Optimise antibiotic use to preserve effectiveness and reduce resistance</w:t>
      </w:r>
    </w:p>
    <w:p>
      <w:pPr>
        <w:spacing w:after="200" w:line="276" w:lineRule="auto"/>
      </w:pPr>
      <w:r>
        <w:t>(c) Never use antibiotics</w:t>
      </w:r>
    </w:p>
    <w:p>
      <w:pPr>
        <w:spacing w:after="200" w:line="276" w:lineRule="auto"/>
      </w:pPr>
      <w:r>
        <w:t>(d) Only culture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Optimise antibiotic use to preserve effectiveness and reduce resistance</w:t>
      </w:r>
    </w:p>
    <w:p>
      <w:pPr>
        <w:spacing w:after="200" w:line="276" w:lineRule="auto"/>
      </w:pPr>
      <w:r>
        <w:t>🧠 Clinical Rationale: Right drug, dose, duration; de-escalation and review reduce resistance and C. difficile.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Antimicrobial Stewardship - Aim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Optimise antibiotic use to preserve effectiveness and reduce resistance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Prescribe more antibiotics — correct in another context, but not for this patient/drug link</w:t>
      </w:r>
    </w:p>
    <w:p>
      <w:pPr>
        <w:spacing w:after="200" w:line="276" w:lineRule="auto"/>
      </w:pPr>
      <w:r>
        <w:t>C. Never use antibiotics — correct in another context, but not for this patient/drug link</w:t>
      </w:r>
    </w:p>
    <w:p>
      <w:pPr>
        <w:spacing w:after="200" w:line="276" w:lineRule="auto"/>
      </w:pPr>
      <w:r>
        <w:t>D. Only culture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sterile field is considered contaminated if</w:t>
      </w:r>
    </w:p>
    <w:p>
      <w:pPr>
        <w:spacing w:after="200" w:line="276" w:lineRule="auto"/>
      </w:pPr>
      <w:r>
        <w:t>(a) It is dry</w:t>
      </w:r>
    </w:p>
    <w:p>
      <w:pPr>
        <w:spacing w:after="200" w:line="276" w:lineRule="auto"/>
      </w:pPr>
      <w:r>
        <w:t>(b) It is opened correctly</w:t>
      </w:r>
    </w:p>
    <w:p>
      <w:pPr>
        <w:spacing w:after="200" w:line="276" w:lineRule="auto"/>
      </w:pPr>
      <w:r>
        <w:t>(c) Gloves are sterile</w:t>
      </w:r>
    </w:p>
    <w:p>
      <w:pPr>
        <w:spacing w:after="200" w:line="276" w:lineRule="auto"/>
      </w:pPr>
      <w:r>
        <w:t>(d) It is left unattended, or a non-sterile item touches it, or moisture seeps through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It is left unattended, or a non-sterile item touches it, or moisture seeps through</w:t>
      </w:r>
    </w:p>
    <w:p>
      <w:pPr>
        <w:spacing w:after="200" w:line="276" w:lineRule="auto"/>
      </w:pPr>
      <w:r>
        <w:t>🧠 Clinical Rationale: Unattended fields, wet drapes and reaching over the field break sterility.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Sterile Field - Rule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It is left unattended, or a non-sterile item touches it, or moisture seeps through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dry — correct in another context, but not for this patient/drug link</w:t>
      </w:r>
    </w:p>
    <w:p>
      <w:pPr>
        <w:spacing w:after="200" w:line="276" w:lineRule="auto"/>
      </w:pPr>
      <w:r>
        <w:t>B. It is opened correctly — correct in another context, but not for this patient/drug link</w:t>
      </w:r>
    </w:p>
    <w:p>
      <w:pPr>
        <w:spacing w:after="200" w:line="276" w:lineRule="auto"/>
      </w:pPr>
      <w:r>
        <w:t>C. Gloves are sterile — correct in another context, but not for this patient/drug link</w:t>
      </w:r>
    </w:p>
    <w:p>
      <w:pPr>
        <w:spacing w:after="200" w:line="276" w:lineRule="auto"/>
      </w:pPr>
      <w:r>
        <w:t>⚠️ Exam Trap: Sterile field violations are the exam point: below-waist items, wet/damp surfaces, and reaching across the field all break sterility.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Sterile field rules: the outer 1-inch border is contaminated, never turn your back on the field, and keep it at or above waist level.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Sterile field</w:t>
      </w:r>
    </w:p>
    <w:p>
      <w:pPr>
        <w:spacing w:after="200" w:line="276" w:lineRule="auto"/>
      </w:pPr>
      <w:r>
        <w:t>→ Only sterile items touch the field; 1-inch outer border is contaminated</w:t>
      </w:r>
    </w:p>
    <w:p>
      <w:pPr>
        <w:spacing w:after="200" w:line="276" w:lineRule="auto"/>
      </w:pPr>
      <w:r>
        <w:t>→ Keep field at or above waist level; never turn back on it</w:t>
      </w:r>
    </w:p>
    <w:p>
      <w:pPr>
        <w:spacing w:after="200" w:line="276" w:lineRule="auto"/>
      </w:pPr>
      <w:r>
        <w:t>→ Moisture (sweat/water) contaminates — keep dry</w:t>
      </w:r>
    </w:p>
    <w:p>
      <w:pPr>
        <w:spacing w:after="200" w:line="276" w:lineRule="auto"/>
      </w:pPr>
      <w:r>
        <w:t>→ Open sterile packages away from you first, then sides</w:t>
      </w:r>
    </w:p>
    <w:p>
      <w:pPr>
        <w:spacing w:after="200" w:line="276" w:lineRule="auto"/>
      </w:pPr>
      <w:r>
        <w:t>→ Add items without reaching across the field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Infectious waste that is heavily soiled or leaking requires</w:t>
      </w:r>
    </w:p>
    <w:p>
      <w:pPr>
        <w:spacing w:after="200" w:line="276" w:lineRule="auto"/>
      </w:pPr>
      <w:r>
        <w:t>(a) Double bagging with labelled biohazard bags</w:t>
      </w:r>
    </w:p>
    <w:p>
      <w:pPr>
        <w:spacing w:after="200" w:line="276" w:lineRule="auto"/>
      </w:pPr>
      <w:r>
        <w:t>(b) Single bag only</w:t>
      </w:r>
    </w:p>
    <w:p>
      <w:pPr>
        <w:spacing w:after="200" w:line="276" w:lineRule="auto"/>
      </w:pPr>
      <w:r>
        <w:t>(c) No bag</w:t>
      </w:r>
    </w:p>
    <w:p>
      <w:pPr>
        <w:spacing w:after="200" w:line="276" w:lineRule="auto"/>
      </w:pPr>
      <w:r>
        <w:t>(d) Reuse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Double bagging with labelled biohazard bags</w:t>
      </w:r>
    </w:p>
    <w:p>
      <w:pPr>
        <w:spacing w:after="200" w:line="276" w:lineRule="auto"/>
      </w:pPr>
      <w:r>
        <w:t>🧠 Clinical Rationale: Double-bag leaking waste; secure with ties; segregate at source per BMW rules.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Double-Bagging - Waste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Double bagging with labelled biohazard bags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Single bag only — correct in another context, but not for this patient/drug link</w:t>
      </w:r>
    </w:p>
    <w:p>
      <w:pPr>
        <w:spacing w:after="200" w:line="276" w:lineRule="auto"/>
      </w:pPr>
      <w:r>
        <w:t>C. No bag — correct in another context, but not for this patient/drug link</w:t>
      </w:r>
    </w:p>
    <w:p>
      <w:pPr>
        <w:spacing w:after="200" w:line="276" w:lineRule="auto"/>
      </w:pPr>
      <w:r>
        <w:t>D. Reuse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fever on post-operative day 5-7 most commonly suggests</w:t>
      </w:r>
    </w:p>
    <w:p>
      <w:pPr>
        <w:spacing w:after="200" w:line="276" w:lineRule="auto"/>
      </w:pPr>
      <w:r>
        <w:t>(a) Normal recovery</w:t>
      </w:r>
    </w:p>
    <w:p>
      <w:pPr>
        <w:spacing w:after="200" w:line="276" w:lineRule="auto"/>
      </w:pPr>
      <w:r>
        <w:t>(b) Drug allergy always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Surgical site infection (or atelectasis, UTI, line infection)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Surgical site infection (or atelectasis, UTI, line infection)</w:t>
      </w:r>
    </w:p>
    <w:p>
      <w:pPr>
        <w:spacing w:after="200" w:line="276" w:lineRule="auto"/>
      </w:pPr>
      <w:r>
        <w:t>🧠 Clinical Rationale: Timing helps: day 1-2 atelectasis, day 3-5 UTI/line, day 5-7 wound infection, day 7+ collections.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Fever - Post-Operative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Surgical site infection (or atelectasis, UTI, line infection)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recovery — correct in another context, but not for this patient/drug link</w:t>
      </w:r>
    </w:p>
    <w:p>
      <w:pPr>
        <w:spacing w:after="200" w:line="276" w:lineRule="auto"/>
      </w:pPr>
      <w:r>
        <w:t>B. Drug allergy always — correct in another context, but not for this patient/drug link</w:t>
      </w:r>
    </w:p>
    <w:p>
      <w:pPr>
        <w:spacing w:after="200" w:line="276" w:lineRule="auto"/>
      </w:pPr>
      <w:r>
        <w:t>C. Nothing — correct in another context, but not for this patient/drug link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UTI</w:t>
      </w:r>
    </w:p>
    <w:p>
      <w:pPr>
        <w:spacing w:after="200" w:line="276" w:lineRule="auto"/>
      </w:pPr>
      <w:r>
        <w:t>→ Organism: E. coli (most common)</w:t>
      </w:r>
    </w:p>
    <w:p>
      <w:pPr>
        <w:spacing w:after="200" w:line="276" w:lineRule="auto"/>
      </w:pPr>
      <w:r>
        <w:t>→ Specimen: clean-catch midstream, first morning sample</w:t>
      </w:r>
    </w:p>
    <w:p>
      <w:pPr>
        <w:spacing w:after="200" w:line="276" w:lineRule="auto"/>
      </w:pPr>
      <w:r>
        <w:t>→ Catheter care: bag below bladder level, keep system closed, perineal hygiene</w:t>
      </w:r>
    </w:p>
    <w:p>
      <w:pPr>
        <w:spacing w:after="200" w:line="276" w:lineRule="auto"/>
      </w:pPr>
      <w:r>
        <w:t>→ Encourage fluids and frequent voiding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purpose of isolation precaution signage is to</w:t>
      </w:r>
    </w:p>
    <w:p>
      <w:pPr>
        <w:spacing w:after="200" w:line="276" w:lineRule="auto"/>
      </w:pPr>
      <w:r>
        <w:t>(a) Alert staff to required PPE and precautions at the door</w:t>
      </w:r>
    </w:p>
    <w:p>
      <w:pPr>
        <w:spacing w:after="200" w:line="276" w:lineRule="auto"/>
      </w:pPr>
      <w:r>
        <w:t>(b) Scare visitors</w:t>
      </w:r>
    </w:p>
    <w:p>
      <w:pPr>
        <w:spacing w:after="200" w:line="276" w:lineRule="auto"/>
      </w:pPr>
      <w:r>
        <w:t>(c) Decorate the room</w:t>
      </w:r>
    </w:p>
    <w:p>
      <w:pPr>
        <w:spacing w:after="200" w:line="276" w:lineRule="auto"/>
      </w:pPr>
      <w:r>
        <w:t>(d) Identify bed numbers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Alert staff to required PPE and precautions at the door</w:t>
      </w:r>
    </w:p>
    <w:p>
      <w:pPr>
        <w:spacing w:after="200" w:line="276" w:lineRule="auto"/>
      </w:pPr>
      <w:r>
        <w:t>🧠 Clinical Rationale: Signs communicate precautions; visitors are instructed on PPE and limits.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Isolation - Signage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Alert staff to required PPE and precautions at the door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Scare visitors — correct in another context, but not for this patient/drug link</w:t>
      </w:r>
    </w:p>
    <w:p>
      <w:pPr>
        <w:spacing w:after="200" w:line="276" w:lineRule="auto"/>
      </w:pPr>
      <w:r>
        <w:t>C. Decorate the room — correct in another context, but not for this patient/drug link</w:t>
      </w:r>
    </w:p>
    <w:p>
      <w:pPr>
        <w:spacing w:after="200" w:line="276" w:lineRule="auto"/>
      </w:pPr>
      <w:r>
        <w:t>D. Identify bed numbers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