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Gram-negative bacteria appear what colour after Gram staining?</w:t>
      </w:r>
    </w:p>
    <w:p>
      <w:pPr>
        <w:spacing w:after="200" w:line="276" w:lineRule="auto"/>
      </w:pPr>
      <w:r>
        <w:t>(a) Pink/red</w:t>
      </w:r>
    </w:p>
    <w:p>
      <w:pPr>
        <w:spacing w:after="200" w:line="276" w:lineRule="auto"/>
      </w:pPr>
      <w:r>
        <w:t>(b) Purple</w:t>
      </w:r>
    </w:p>
    <w:p>
      <w:pPr>
        <w:spacing w:after="200" w:line="276" w:lineRule="auto"/>
      </w:pPr>
      <w:r>
        <w:t>(c) Blue</w:t>
      </w:r>
    </w:p>
    <w:p>
      <w:pPr>
        <w:spacing w:after="200" w:line="276" w:lineRule="auto"/>
      </w:pPr>
      <w:r>
        <w:t>(d) Green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Pink/red</w:t>
      </w:r>
    </w:p>
    <w:p>
      <w:pPr>
        <w:spacing w:after="200" w:line="276" w:lineRule="auto"/>
      </w:pPr>
      <w:r>
        <w:t>🧠 Clinical Rationale: Gram-negatives have thin peptidoglycan and lose crystal violet — counterstain pink.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Gram Stain - Interpretation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Pink/red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Purple — correct in another context, but not for this patient/drug link</w:t>
      </w:r>
    </w:p>
    <w:p>
      <w:pPr>
        <w:spacing w:after="200" w:line="276" w:lineRule="auto"/>
      </w:pPr>
      <w:r>
        <w:t>C. Blue — correct in another context, but not for this patient/drug link</w:t>
      </w:r>
    </w:p>
    <w:p>
      <w:pPr>
        <w:spacing w:after="200" w:line="276" w:lineRule="auto"/>
      </w:pPr>
      <w:r>
        <w:t>D. Green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Wound swabs for culture should be collected</w:t>
      </w:r>
    </w:p>
    <w:p>
      <w:pPr>
        <w:spacing w:after="200" w:line="276" w:lineRule="auto"/>
      </w:pPr>
      <w:r>
        <w:t>(a) After antibiotics</w:t>
      </w:r>
    </w:p>
    <w:p>
      <w:pPr>
        <w:spacing w:after="200" w:line="276" w:lineRule="auto"/>
      </w:pPr>
      <w:r>
        <w:t>(b) From surrounding skin</w:t>
      </w:r>
    </w:p>
    <w:p>
      <w:pPr>
        <w:spacing w:after="200" w:line="276" w:lineRule="auto"/>
      </w:pPr>
      <w:r>
        <w:t>(c) Before starting antibiotics, from the wound base (not pus surface)</w:t>
      </w:r>
    </w:p>
    <w:p>
      <w:pPr>
        <w:spacing w:after="200" w:line="276" w:lineRule="auto"/>
      </w:pPr>
      <w:r>
        <w:t>(d) Weekly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Before starting antibiotics, from the wound base (not pus surface)</w:t>
      </w:r>
    </w:p>
    <w:p>
      <w:pPr>
        <w:spacing w:after="200" w:line="276" w:lineRule="auto"/>
      </w:pPr>
      <w:r>
        <w:t>🧠 Clinical Rationale: Pre-treatment deep sampling maximises yield; surface pus is colonised flora.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Culture -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Before starting antibiotics, from the wound base (not pus surface)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antibiotics — correct in another context, but not for this patient/drug link</w:t>
      </w:r>
    </w:p>
    <w:p>
      <w:pPr>
        <w:spacing w:after="200" w:line="276" w:lineRule="auto"/>
      </w:pPr>
      <w:r>
        <w:t>B. From surrounding skin — correct in another context, but not for this patient/drug link</w:t>
      </w:r>
    </w:p>
    <w:p>
      <w:pPr>
        <w:spacing w:after="200" w:line="276" w:lineRule="auto"/>
      </w:pPr>
      <w:r>
        <w:t>D. Weekly — correct in another context, but not for this patient/drug link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disc diffusion method for antibiotic sensitivity is also called</w:t>
      </w:r>
    </w:p>
    <w:p>
      <w:pPr>
        <w:spacing w:after="200" w:line="276" w:lineRule="auto"/>
      </w:pPr>
      <w:r>
        <w:t>(a) ZN stain</w:t>
      </w:r>
    </w:p>
    <w:p>
      <w:pPr>
        <w:spacing w:after="200" w:line="276" w:lineRule="auto"/>
      </w:pPr>
      <w:r>
        <w:t>(b) Kirby-Bauer test</w:t>
      </w:r>
    </w:p>
    <w:p>
      <w:pPr>
        <w:spacing w:after="200" w:line="276" w:lineRule="auto"/>
      </w:pPr>
      <w:r>
        <w:t>(c) ELISA</w:t>
      </w:r>
    </w:p>
    <w:p>
      <w:pPr>
        <w:spacing w:after="200" w:line="276" w:lineRule="auto"/>
      </w:pPr>
      <w:r>
        <w:t>(d) PCR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Kirby-Bauer test</w:t>
      </w:r>
    </w:p>
    <w:p>
      <w:pPr>
        <w:spacing w:after="200" w:line="276" w:lineRule="auto"/>
      </w:pPr>
      <w:r>
        <w:t>🧠 Clinical Rationale: Kirby-Bauer measures zone of inhibition — categorical susceptibility (S/I/R).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Sensitivity Test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Kirby-Bauer test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ZN stain — correct in another context, but not for this patient/drug link</w:t>
      </w:r>
    </w:p>
    <w:p>
      <w:pPr>
        <w:spacing w:after="200" w:line="276" w:lineRule="auto"/>
      </w:pPr>
      <w:r>
        <w:t>C. ELISA — correct in another context, but not for this patient/drug link</w:t>
      </w:r>
    </w:p>
    <w:p>
      <w:pPr>
        <w:spacing w:after="200" w:line="276" w:lineRule="auto"/>
      </w:pPr>
      <w:r>
        <w:t>D. PCR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clean-catch midstream urine sample reduces contamination from</w:t>
      </w:r>
    </w:p>
    <w:p>
      <w:pPr>
        <w:spacing w:after="200" w:line="276" w:lineRule="auto"/>
      </w:pPr>
      <w:r>
        <w:t>(a) Blood</w:t>
      </w:r>
    </w:p>
    <w:p>
      <w:pPr>
        <w:spacing w:after="200" w:line="276" w:lineRule="auto"/>
      </w:pPr>
      <w:r>
        <w:t>(b) Protein</w:t>
      </w:r>
    </w:p>
    <w:p>
      <w:pPr>
        <w:spacing w:after="200" w:line="276" w:lineRule="auto"/>
      </w:pPr>
      <w:r>
        <w:t>(c) Peri-urethral flora</w:t>
      </w:r>
    </w:p>
    <w:p>
      <w:pPr>
        <w:spacing w:after="200" w:line="276" w:lineRule="auto"/>
      </w:pPr>
      <w:r>
        <w:t>(d) Glucose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Peri-urethral flora</w:t>
      </w:r>
    </w:p>
    <w:p>
      <w:pPr>
        <w:spacing w:after="200" w:line="276" w:lineRule="auto"/>
      </w:pPr>
      <w:r>
        <w:t>🧠 Clinical Rationale: Midstream collection with cleansing avoids skin/vaginal contamination for culture.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Specimen - Urine Midstream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Peri-urethral flora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— correct in another context, but not for this patient/drug link</w:t>
      </w:r>
    </w:p>
    <w:p>
      <w:pPr>
        <w:spacing w:after="200" w:line="276" w:lineRule="auto"/>
      </w:pPr>
      <w:r>
        <w:t>B. Protein — correct in another context, but not for this patient/drug link</w:t>
      </w:r>
    </w:p>
    <w:p>
      <w:pPr>
        <w:spacing w:after="200" w:line="276" w:lineRule="auto"/>
      </w:pPr>
      <w:r>
        <w:t>D. Glucose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targets TB elimination (END-TB) by the year</w:t>
      </w:r>
    </w:p>
    <w:p>
      <w:pPr>
        <w:spacing w:after="200" w:line="276" w:lineRule="auto"/>
      </w:pPr>
      <w:r>
        <w:t>(a) 2030</w:t>
      </w:r>
    </w:p>
    <w:p>
      <w:pPr>
        <w:spacing w:after="200" w:line="276" w:lineRule="auto"/>
      </w:pPr>
      <w:r>
        <w:t>(b) 2040</w:t>
      </w:r>
    </w:p>
    <w:p>
      <w:pPr>
        <w:spacing w:after="200" w:line="276" w:lineRule="auto"/>
      </w:pPr>
      <w:r>
        <w:t>(c) 2025</w:t>
      </w:r>
    </w:p>
    <w:p>
      <w:pPr>
        <w:spacing w:after="200" w:line="276" w:lineRule="auto"/>
      </w:pPr>
      <w:r>
        <w:t>(d) 2050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2025</w:t>
      </w:r>
    </w:p>
    <w:p>
      <w:pPr>
        <w:spacing w:after="200" w:line="276" w:lineRule="auto"/>
      </w:pPr>
      <w:r>
        <w:t>🧠 Clinical Rationale: India aims to end TB by 2025 (ahead of the global 2030 SDG target).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NTEP - TB Elimination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2025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2030 — correct in another context, but not for this patient/drug link</w:t>
      </w:r>
    </w:p>
    <w:p>
      <w:pPr>
        <w:spacing w:after="200" w:line="276" w:lineRule="auto"/>
      </w:pPr>
      <w:r>
        <w:t>B. 2040 — correct in another context, but not for this patient/drug link</w:t>
      </w:r>
    </w:p>
    <w:p>
      <w:pPr>
        <w:spacing w:after="200" w:line="276" w:lineRule="auto"/>
      </w:pPr>
      <w:r>
        <w:t>D. 2050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Leprosy is treated with</w:t>
      </w:r>
    </w:p>
    <w:p>
      <w:pPr>
        <w:spacing w:after="200" w:line="276" w:lineRule="auto"/>
      </w:pPr>
      <w:r>
        <w:t>(a) Multi-drug therapy (rifampicin, dapsone, clofazimine) free of cost</w:t>
      </w:r>
    </w:p>
    <w:p>
      <w:pPr>
        <w:spacing w:after="200" w:line="276" w:lineRule="auto"/>
      </w:pPr>
      <w:r>
        <w:t>(b) Antibiotics alone</w:t>
      </w:r>
    </w:p>
    <w:p>
      <w:pPr>
        <w:spacing w:after="200" w:line="276" w:lineRule="auto"/>
      </w:pPr>
      <w:r>
        <w:t>(c) Surgery only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Multi-drug therapy (rifampicin, dapsone, clofazimine) free of cost</w:t>
      </w:r>
    </w:p>
    <w:p>
      <w:pPr>
        <w:spacing w:after="200" w:line="276" w:lineRule="auto"/>
      </w:pPr>
      <w:r>
        <w:t>🧠 Clinical Rationale: MDT cures leprosy and interrupts transmission; NLEP provides free treatment.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NLEP - Leprosy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Multi-drug therapy (rifampicin, dapsone, clofazimine) free of cost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Antibiotics alone — correct in another context, but not for this patient/drug link</w:t>
      </w:r>
    </w:p>
    <w:p>
      <w:pPr>
        <w:spacing w:after="200" w:line="276" w:lineRule="auto"/>
      </w:pPr>
      <w:r>
        <w:t>C. Surgery only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Under IDSP, priority diseases are reported</w:t>
      </w:r>
    </w:p>
    <w:p>
      <w:pPr>
        <w:spacing w:after="200" w:line="276" w:lineRule="auto"/>
      </w:pPr>
      <w:r>
        <w:t>(a) Yearly</w:t>
      </w:r>
    </w:p>
    <w:p>
      <w:pPr>
        <w:spacing w:after="200" w:line="276" w:lineRule="auto"/>
      </w:pPr>
      <w:r>
        <w:t>(b) Never</w:t>
      </w:r>
    </w:p>
    <w:p>
      <w:pPr>
        <w:spacing w:after="200" w:line="276" w:lineRule="auto"/>
      </w:pPr>
      <w:r>
        <w:t>(c) Only on request</w:t>
      </w:r>
    </w:p>
    <w:p>
      <w:pPr>
        <w:spacing w:after="200" w:line="276" w:lineRule="auto"/>
      </w:pPr>
      <w:r>
        <w:t>(d) Weekly (P-form) from health facilities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Weekly (P-form) from health facilities</w:t>
      </w:r>
    </w:p>
    <w:p>
      <w:pPr>
        <w:spacing w:after="200" w:line="276" w:lineRule="auto"/>
      </w:pPr>
      <w:r>
        <w:t>🧠 Clinical Rationale: Weekly surveillance reports enable early outbreak detection and response.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IDSP - Reporting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Weekly (P-form) from health facilities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Yearly — correct in another context, but not for this patient/drug link</w:t>
      </w:r>
    </w:p>
    <w:p>
      <w:pPr>
        <w:spacing w:after="200" w:line="276" w:lineRule="auto"/>
      </w:pPr>
      <w:r>
        <w:t>B. Never — correct in another context, but not for this patient/drug link</w:t>
      </w:r>
    </w:p>
    <w:p>
      <w:pPr>
        <w:spacing w:after="200" w:line="276" w:lineRule="auto"/>
      </w:pPr>
      <w:r>
        <w:t>C. Only on request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cold chain temperature for most vaccines is</w:t>
      </w:r>
    </w:p>
    <w:p>
      <w:pPr>
        <w:spacing w:after="200" w:line="276" w:lineRule="auto"/>
      </w:pPr>
      <w:r>
        <w:t>(a) +2°C to +8°C</w:t>
      </w:r>
    </w:p>
    <w:p>
      <w:pPr>
        <w:spacing w:after="200" w:line="276" w:lineRule="auto"/>
      </w:pPr>
      <w:r>
        <w:t>(b) -20°C</w:t>
      </w:r>
    </w:p>
    <w:p>
      <w:pPr>
        <w:spacing w:after="200" w:line="276" w:lineRule="auto"/>
      </w:pPr>
      <w:r>
        <w:t>(c) Room temperature</w:t>
      </w:r>
    </w:p>
    <w:p>
      <w:pPr>
        <w:spacing w:after="200" w:line="276" w:lineRule="auto"/>
      </w:pPr>
      <w:r>
        <w:t>(d) &gt;25°C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+2°C to +8°C</w:t>
      </w:r>
    </w:p>
    <w:p>
      <w:pPr>
        <w:spacing w:after="200" w:line="276" w:lineRule="auto"/>
      </w:pPr>
      <w:r>
        <w:t>🧠 Clinical Rationale: Maintain 2-8°C; OPV/measles may be frozen, but never freeze DPT/BCG/HepB.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Immunisation - Cold Chain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+2°C to +8°C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-20°C — correct in another context, but not for this patient/drug link</w:t>
      </w:r>
    </w:p>
    <w:p>
      <w:pPr>
        <w:spacing w:after="200" w:line="276" w:lineRule="auto"/>
      </w:pPr>
      <w:r>
        <w:t>C. Room temperature — correct in another context, but not for this patient/drug link</w:t>
      </w:r>
    </w:p>
    <w:p>
      <w:pPr>
        <w:spacing w:after="200" w:line="276" w:lineRule="auto"/>
      </w:pPr>
      <w:r>
        <w:t>D. &gt;25°C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reliable bedside method to confirm NG tube placement is</w:t>
      </w:r>
    </w:p>
    <w:p>
      <w:pPr>
        <w:spacing w:after="200" w:line="276" w:lineRule="auto"/>
      </w:pPr>
      <w:r>
        <w:t>(a) pH testing of aspirate (pH &lt;5.5 gastric) with radiological confirmation when uncertain</w:t>
      </w:r>
    </w:p>
    <w:p>
      <w:pPr>
        <w:spacing w:after="200" w:line="276" w:lineRule="auto"/>
      </w:pPr>
      <w:r>
        <w:t>(b) Auscultating air over the epigastrium</w:t>
      </w:r>
    </w:p>
    <w:p>
      <w:pPr>
        <w:spacing w:after="200" w:line="276" w:lineRule="auto"/>
      </w:pPr>
      <w:r>
        <w:t>(c) Placing the tube in water</w:t>
      </w:r>
    </w:p>
    <w:p>
      <w:pPr>
        <w:spacing w:after="200" w:line="276" w:lineRule="auto"/>
      </w:pPr>
      <w:r>
        <w:t>(d) Visual inspection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pH testing of aspirate (pH &lt;5.5 gastric) with radiological confirmation when uncertain</w:t>
      </w:r>
    </w:p>
    <w:p>
      <w:pPr>
        <w:spacing w:after="200" w:line="276" w:lineRule="auto"/>
      </w:pPr>
      <w:r>
        <w:t>🧠 Clinical Rationale: X-ray remains the gold standard; pH aspirate is the best bedside test (whoosh test is unreliable).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NG Tube - Confirmation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pH testing of aspirate (pH &lt;5.5 gastric) with radiological confirmation when uncertain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Auscultating air over the epigastrium — correct in another context, but not for this patient/drug link</w:t>
      </w:r>
    </w:p>
    <w:p>
      <w:pPr>
        <w:spacing w:after="200" w:line="276" w:lineRule="auto"/>
      </w:pPr>
      <w:r>
        <w:t>C. Placing the tube in water — correct in another context, but not for this patient/drug link</w:t>
      </w:r>
    </w:p>
    <w:p>
      <w:pPr>
        <w:spacing w:after="200" w:line="276" w:lineRule="auto"/>
      </w:pPr>
      <w:r>
        <w:t>D. Visual inspection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female urinary catheter is inserted how many cm further after urine flow?</w:t>
      </w:r>
    </w:p>
    <w:p>
      <w:pPr>
        <w:spacing w:after="200" w:line="276" w:lineRule="auto"/>
      </w:pPr>
      <w:r>
        <w:t>(a) 10 cm</w:t>
      </w:r>
    </w:p>
    <w:p>
      <w:pPr>
        <w:spacing w:after="200" w:line="276" w:lineRule="auto"/>
      </w:pPr>
      <w:r>
        <w:t>(b) 20 cm</w:t>
      </w:r>
    </w:p>
    <w:p>
      <w:pPr>
        <w:spacing w:after="200" w:line="276" w:lineRule="auto"/>
      </w:pPr>
      <w:r>
        <w:t>(c) 1-2 cm (2.5-5 cm) to position the balloon in the bladder</w:t>
      </w:r>
    </w:p>
    <w:p>
      <w:pPr>
        <w:spacing w:after="200" w:line="276" w:lineRule="auto"/>
      </w:pPr>
      <w:r>
        <w:t>(d) Not at all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1-2 cm (2.5-5 cm) to position the balloon in the bladder</w:t>
      </w:r>
    </w:p>
    <w:p>
      <w:pPr>
        <w:spacing w:after="200" w:line="276" w:lineRule="auto"/>
      </w:pPr>
      <w:r>
        <w:t>🧠 Clinical Rationale: Advance 1-2 cm beyond urine flow before inflating the balloon to avoid urethral trauma.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Urinary Catheter - Insertion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1-2 cm (2.5-5 cm) to position the balloon in the bladder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cm — correct in another context, but not for this patient/drug link</w:t>
      </w:r>
    </w:p>
    <w:p>
      <w:pPr>
        <w:spacing w:after="200" w:line="276" w:lineRule="auto"/>
      </w:pPr>
      <w:r>
        <w:t>B. 20 cm — correct in another context, but not for this patient/drug link</w:t>
      </w:r>
    </w:p>
    <w:p>
      <w:pPr>
        <w:spacing w:after="200" w:line="276" w:lineRule="auto"/>
      </w:pPr>
      <w:r>
        <w:t>D. Not at all — correct in another context, but not for this patient/drug link</w:t>
      </w:r>
    </w:p>
    <w:p>
      <w:pPr>
        <w:spacing w:after="200" w:line="276" w:lineRule="auto"/>
      </w:pPr>
      <w:r>
        <w:t>⚠️ Exam Trap: Bag on the bed beside the patient is wrong — reflux risk; routine irrigation is not indicated unless blocked.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Keep the drainage bag BELOW the level of the bladder to prevent reflux and UTI.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Indwelling catheter care</w:t>
      </w:r>
    </w:p>
    <w:p>
      <w:pPr>
        <w:spacing w:after="200" w:line="276" w:lineRule="auto"/>
      </w:pPr>
      <w:r>
        <w:t>→ Bag below bladder level, never on the floor</w:t>
      </w:r>
    </w:p>
    <w:p>
      <w:pPr>
        <w:spacing w:after="200" w:line="276" w:lineRule="auto"/>
      </w:pPr>
      <w:r>
        <w:t>→ Closed drainage system, secure catheter, perineal hygiene</w:t>
      </w:r>
    </w:p>
    <w:p>
      <w:pPr>
        <w:spacing w:after="200" w:line="276" w:lineRule="auto"/>
      </w:pPr>
      <w:r>
        <w:t>→ Empty bag regularly; measure output; note colour, clarity</w:t>
      </w:r>
    </w:p>
    <w:p>
      <w:pPr>
        <w:spacing w:after="200" w:line="276" w:lineRule="auto"/>
      </w:pPr>
      <w:r>
        <w:t>→ Encourage fluids (unless contraindicated)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patient is positioned in which way for a cleansing enema?</w:t>
      </w:r>
    </w:p>
    <w:p>
      <w:pPr>
        <w:spacing w:after="200" w:line="276" w:lineRule="auto"/>
      </w:pPr>
      <w:r>
        <w:t>(a) Left lateral (Sims) position</w:t>
      </w:r>
    </w:p>
    <w:p>
      <w:pPr>
        <w:spacing w:after="200" w:line="276" w:lineRule="auto"/>
      </w:pPr>
      <w:r>
        <w:t>(b) Supine with legs flat</w:t>
      </w:r>
    </w:p>
    <w:p>
      <w:pPr>
        <w:spacing w:after="200" w:line="276" w:lineRule="auto"/>
      </w:pPr>
      <w:r>
        <w:t>(c) Prone</w:t>
      </w:r>
    </w:p>
    <w:p>
      <w:pPr>
        <w:spacing w:after="200" w:line="276" w:lineRule="auto"/>
      </w:pPr>
      <w:r>
        <w:t>(d) Sitting upright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Left lateral (Sims) position</w:t>
      </w:r>
    </w:p>
    <w:p>
      <w:pPr>
        <w:spacing w:after="200" w:line="276" w:lineRule="auto"/>
      </w:pPr>
      <w:r>
        <w:t>🧠 Clinical Rationale: Left lateral allows gravity to aid flow along the descending colon.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Enema - Position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Left lateral (Sims) position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Supine with legs flat — correct in another context, but not for this patient/drug link</w:t>
      </w:r>
    </w:p>
    <w:p>
      <w:pPr>
        <w:spacing w:after="200" w:line="276" w:lineRule="auto"/>
      </w:pPr>
      <w:r>
        <w:t>C. Prone — correct in another context, but not for this patient/drug link</w:t>
      </w:r>
    </w:p>
    <w:p>
      <w:pPr>
        <w:spacing w:after="200" w:line="276" w:lineRule="auto"/>
      </w:pPr>
      <w:r>
        <w:t>D. Sitting upright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newly created colostomy stoma is expected to be</w:t>
      </w:r>
    </w:p>
    <w:p>
      <w:pPr>
        <w:spacing w:after="200" w:line="276" w:lineRule="auto"/>
      </w:pPr>
      <w:r>
        <w:t>(a) Blue and dry</w:t>
      </w:r>
    </w:p>
    <w:p>
      <w:pPr>
        <w:spacing w:after="200" w:line="276" w:lineRule="auto"/>
      </w:pPr>
      <w:r>
        <w:t>(b) Black and hard</w:t>
      </w:r>
    </w:p>
    <w:p>
      <w:pPr>
        <w:spacing w:after="200" w:line="276" w:lineRule="auto"/>
      </w:pPr>
      <w:r>
        <w:t>(c) White and pale</w:t>
      </w:r>
    </w:p>
    <w:p>
      <w:pPr>
        <w:spacing w:after="200" w:line="276" w:lineRule="auto"/>
      </w:pPr>
      <w:r>
        <w:t>(d) Red/pink, moist and slightly oedematous initially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Red/pink, moist and slightly oedematous initially</w:t>
      </w:r>
    </w:p>
    <w:p>
      <w:pPr>
        <w:spacing w:after="200" w:line="276" w:lineRule="auto"/>
      </w:pPr>
      <w:r>
        <w:t>🧠 Clinical Rationale: A healthy stoma is rosy pink and moist; dusky/black indicates ischaemia — report urgently.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Stoma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Red/pink, moist and slightly oedematous initially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Blue and dry — correct in another context, but not for this patient/drug link</w:t>
      </w:r>
    </w:p>
    <w:p>
      <w:pPr>
        <w:spacing w:after="200" w:line="276" w:lineRule="auto"/>
      </w:pPr>
      <w:r>
        <w:t>B. Black and hard — correct in another context, but not for this patient/drug link</w:t>
      </w:r>
    </w:p>
    <w:p>
      <w:pPr>
        <w:spacing w:after="200" w:line="276" w:lineRule="auto"/>
      </w:pPr>
      <w:r>
        <w:t>C. White and pale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nasal cannula delivers low-flow oxygen at</w:t>
      </w:r>
    </w:p>
    <w:p>
      <w:pPr>
        <w:spacing w:after="200" w:line="276" w:lineRule="auto"/>
      </w:pPr>
      <w:r>
        <w:t>(a) 10-15 L/min</w:t>
      </w:r>
    </w:p>
    <w:p>
      <w:pPr>
        <w:spacing w:after="200" w:line="276" w:lineRule="auto"/>
      </w:pPr>
      <w:r>
        <w:t>(b) 20 L/min</w:t>
      </w:r>
    </w:p>
    <w:p>
      <w:pPr>
        <w:spacing w:after="200" w:line="276" w:lineRule="auto"/>
      </w:pPr>
      <w:r>
        <w:t>(c) Only 0.5 L/min</w:t>
      </w:r>
    </w:p>
    <w:p>
      <w:pPr>
        <w:spacing w:after="200" w:line="276" w:lineRule="auto"/>
      </w:pPr>
      <w:r>
        <w:t>(d) 1-6 L/min (24-44% FiO2)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1-6 L/min (24-44% FiO2)</w:t>
      </w:r>
    </w:p>
    <w:p>
      <w:pPr>
        <w:spacing w:after="200" w:line="276" w:lineRule="auto"/>
      </w:pPr>
      <w:r>
        <w:t>🧠 Clinical Rationale: Cannula 1-6 L/min; simple mask 5-10 L/min; non-rebreather 10-15 L/min for higher FiO2.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Oxygen - Nasal Cannula Flow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1-6 L/min (24-44% FiO2)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10-15 L/min — correct in another context, but not for this patient/drug link</w:t>
      </w:r>
    </w:p>
    <w:p>
      <w:pPr>
        <w:spacing w:after="200" w:line="276" w:lineRule="auto"/>
      </w:pPr>
      <w:r>
        <w:t>B. 20 L/min — correct in another context, but not for this patient/drug link</w:t>
      </w:r>
    </w:p>
    <w:p>
      <w:pPr>
        <w:spacing w:after="200" w:line="276" w:lineRule="auto"/>
      </w:pPr>
      <w:r>
        <w:t>C. Only 0.5 L/min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oxygen is in use, the nurse must ensure</w:t>
      </w:r>
    </w:p>
    <w:p>
      <w:pPr>
        <w:spacing w:after="200" w:line="276" w:lineRule="auto"/>
      </w:pPr>
      <w:r>
        <w:t>(a) Saturated dressings are fine</w:t>
      </w:r>
    </w:p>
    <w:p>
      <w:pPr>
        <w:spacing w:after="200" w:line="276" w:lineRule="auto"/>
      </w:pPr>
      <w:r>
        <w:t>(b) No smoking/open flames; 'oxygen in use' signs and equipment checks</w:t>
      </w:r>
    </w:p>
    <w:p>
      <w:pPr>
        <w:spacing w:after="200" w:line="276" w:lineRule="auto"/>
      </w:pPr>
      <w:r>
        <w:t>(c) Oil-based creams near the face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 smoking/open flames; 'oxygen in use' signs and equipment checks</w:t>
      </w:r>
    </w:p>
    <w:p>
      <w:pPr>
        <w:spacing w:after="200" w:line="276" w:lineRule="auto"/>
      </w:pPr>
      <w:r>
        <w:t>🧠 Clinical Rationale: Oxygen supports combustion — prohibit flames, oil and static sources.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Oxygen - Safety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No smoking/open flames; 'oxygen in use' signs and equipment checks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Saturated dressings are fine — correct in another context, but not for this patient/drug link</w:t>
      </w:r>
    </w:p>
    <w:p>
      <w:pPr>
        <w:spacing w:after="200" w:line="276" w:lineRule="auto"/>
      </w:pPr>
      <w:r>
        <w:t>C. Oil-based creams near the face — correct in another context, but not for this patient/drug link</w:t>
      </w:r>
    </w:p>
    <w:p>
      <w:pPr>
        <w:spacing w:after="200" w:line="276" w:lineRule="auto"/>
      </w:pPr>
      <w:r>
        <w:t>D. Nothing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endotracheal suctioning, the nurse should</w:t>
      </w:r>
    </w:p>
    <w:p>
      <w:pPr>
        <w:spacing w:after="200" w:line="276" w:lineRule="auto"/>
      </w:pPr>
      <w:r>
        <w:t>(a) Suction for 2 minutes</w:t>
      </w:r>
    </w:p>
    <w:p>
      <w:pPr>
        <w:spacing w:after="200" w:line="276" w:lineRule="auto"/>
      </w:pPr>
      <w:r>
        <w:t>(b) Give nothing</w:t>
      </w:r>
    </w:p>
    <w:p>
      <w:pPr>
        <w:spacing w:after="200" w:line="276" w:lineRule="auto"/>
      </w:pPr>
      <w:r>
        <w:t>(c) Pre-oxygenate with 100% oxygen and limit suction to &lt;10-15 seconds</w:t>
      </w:r>
    </w:p>
    <w:p>
      <w:pPr>
        <w:spacing w:after="200" w:line="276" w:lineRule="auto"/>
      </w:pPr>
      <w:r>
        <w:t>(d) Suction blindly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Pre-oxygenate with 100% oxygen and limit suction to &lt;10-15 seconds</w:t>
      </w:r>
    </w:p>
    <w:p>
      <w:pPr>
        <w:spacing w:after="200" w:line="276" w:lineRule="auto"/>
      </w:pPr>
      <w:r>
        <w:t>🧠 Clinical Rationale: Pre-oxygenation and brief suctioning prevent hypoxaemia and arrhythmias.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Suction - Pre-Oxygenation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Pre-oxygenate with 100% oxygen and limit suction to &lt;10-15 seconds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Suction for 2 minutes — correct in another context, but not for this patient/drug link</w:t>
      </w:r>
    </w:p>
    <w:p>
      <w:pPr>
        <w:spacing w:after="200" w:line="276" w:lineRule="auto"/>
      </w:pPr>
      <w:r>
        <w:t>B. Give nothing — correct in another context, but not for this patient/drug link</w:t>
      </w:r>
    </w:p>
    <w:p>
      <w:pPr>
        <w:spacing w:after="200" w:line="276" w:lineRule="auto"/>
      </w:pPr>
      <w:r>
        <w:t>D. Suction blindly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fall-prevention intervention for a confused elderly patient is</w:t>
      </w:r>
    </w:p>
    <w:p>
      <w:pPr>
        <w:spacing w:after="200" w:line="276" w:lineRule="auto"/>
      </w:pPr>
      <w:r>
        <w:t>(a) Physical restraints routinely</w:t>
      </w:r>
    </w:p>
    <w:p>
      <w:pPr>
        <w:spacing w:after="200" w:line="276" w:lineRule="auto"/>
      </w:pPr>
      <w:r>
        <w:t>(b) Bed in low position, call bell within reach, hourly rounding and non-slip footwear</w:t>
      </w:r>
    </w:p>
    <w:p>
      <w:pPr>
        <w:spacing w:after="200" w:line="276" w:lineRule="auto"/>
      </w:pPr>
      <w:r>
        <w:t>(c) Leaving the bed high</w:t>
      </w:r>
    </w:p>
    <w:p>
      <w:pPr>
        <w:spacing w:after="200" w:line="276" w:lineRule="auto"/>
      </w:pPr>
      <w:r>
        <w:t>(d) Dim lighting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Bed in low position, call bell within reach, hourly rounding and non-slip footwear</w:t>
      </w:r>
    </w:p>
    <w:p>
      <w:pPr>
        <w:spacing w:after="200" w:line="276" w:lineRule="auto"/>
      </w:pPr>
      <w:r>
        <w:t>🧠 Clinical Rationale: Environmental and rounding strategies reduce falls; restraints are a last resort.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Fall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Bed in low position, call bell within reach, hourly rounding and non-slip footwear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Physical restraints routinely — correct in another context, but not for this patient/drug link</w:t>
      </w:r>
    </w:p>
    <w:p>
      <w:pPr>
        <w:spacing w:after="200" w:line="276" w:lineRule="auto"/>
      </w:pPr>
      <w:r>
        <w:t>C. Leaving the bed high — correct in another context, but not for this patient/drug link</w:t>
      </w:r>
    </w:p>
    <w:p>
      <w:pPr>
        <w:spacing w:after="200" w:line="276" w:lineRule="auto"/>
      </w:pPr>
      <w:r>
        <w:t>D. Dim lighting — correct in another context, but not for this patient/drug link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seizure, the nurse should</w:t>
      </w:r>
    </w:p>
    <w:p>
      <w:pPr>
        <w:spacing w:after="200" w:line="276" w:lineRule="auto"/>
      </w:pPr>
      <w:r>
        <w:t>(a) Insert a tongue blade</w:t>
      </w:r>
    </w:p>
    <w:p>
      <w:pPr>
        <w:spacing w:after="200" w:line="276" w:lineRule="auto"/>
      </w:pPr>
      <w:r>
        <w:t>(b) Hold the limbs down</w:t>
      </w:r>
    </w:p>
    <w:p>
      <w:pPr>
        <w:spacing w:after="200" w:line="276" w:lineRule="auto"/>
      </w:pPr>
      <w:r>
        <w:t>(c) Give oral fluids</w:t>
      </w:r>
    </w:p>
    <w:p>
      <w:pPr>
        <w:spacing w:after="200" w:line="276" w:lineRule="auto"/>
      </w:pPr>
      <w:r>
        <w:t>(d) Protect the head, loosen clothing and time the seizure (never restrain or put objects in mouth)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Protect the head, loosen clothing and time the seizure (never restrain or put objects in mouth)</w:t>
      </w:r>
    </w:p>
    <w:p>
      <w:pPr>
        <w:spacing w:after="200" w:line="276" w:lineRule="auto"/>
      </w:pPr>
      <w:r>
        <w:t>🧠 Clinical Rationale: Protect, observe and time; nothing in the mouth; position lateral after the seizure.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Seizure - During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Protect the head, loosen clothing and time the seizure (never restrain or put objects in mouth)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Insert a tongue blade — correct in another context, but not for this patient/drug link</w:t>
      </w:r>
    </w:p>
    <w:p>
      <w:pPr>
        <w:spacing w:after="200" w:line="276" w:lineRule="auto"/>
      </w:pPr>
      <w:r>
        <w:t>B. Hold the limbs down — correct in another context, but not for this patient/drug link</w:t>
      </w:r>
    </w:p>
    <w:p>
      <w:pPr>
        <w:spacing w:after="200" w:line="276" w:lineRule="auto"/>
      </w:pPr>
      <w:r>
        <w:t>C. Give oral fluids — correct in another context, but not for this patient/drug link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Log rolling is used for a patient with a spinal injury to</w:t>
      </w:r>
    </w:p>
    <w:p>
      <w:pPr>
        <w:spacing w:after="200" w:line="276" w:lineRule="auto"/>
      </w:pPr>
      <w:r>
        <w:t>(a) Improve comfort only</w:t>
      </w:r>
    </w:p>
    <w:p>
      <w:pPr>
        <w:spacing w:after="200" w:line="276" w:lineRule="auto"/>
      </w:pPr>
      <w:r>
        <w:t>(b) Speed up turning</w:t>
      </w:r>
    </w:p>
    <w:p>
      <w:pPr>
        <w:spacing w:after="200" w:line="276" w:lineRule="auto"/>
      </w:pPr>
      <w:r>
        <w:t>(c) Avoid repositioning</w:t>
      </w:r>
    </w:p>
    <w:p>
      <w:pPr>
        <w:spacing w:after="200" w:line="276" w:lineRule="auto"/>
      </w:pPr>
      <w:r>
        <w:t>(d) Maintain spinal alignment while turning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Maintain spinal alignment while turning</w:t>
      </w:r>
    </w:p>
    <w:p>
      <w:pPr>
        <w:spacing w:after="200" w:line="276" w:lineRule="auto"/>
      </w:pPr>
      <w:r>
        <w:t>🧠 Clinical Rationale: Log roll as a unit keeps the spine neutral — prevents further cord damage.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Log Rolling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Maintain spinal alignment while turning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 comfort only — correct in another context, but not for this patient/drug link</w:t>
      </w:r>
    </w:p>
    <w:p>
      <w:pPr>
        <w:spacing w:after="200" w:line="276" w:lineRule="auto"/>
      </w:pPr>
      <w:r>
        <w:t>B. Speed up turning — correct in another context, but not for this patient/drug link</w:t>
      </w:r>
    </w:p>
    <w:p>
      <w:pPr>
        <w:spacing w:after="200" w:line="276" w:lineRule="auto"/>
      </w:pPr>
      <w:r>
        <w:t>C. Avoid repositioning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Hospital Infection Control Committee's role includes</w:t>
      </w:r>
    </w:p>
    <w:p>
      <w:pPr>
        <w:spacing w:after="200" w:line="276" w:lineRule="auto"/>
      </w:pPr>
      <w:r>
        <w:t>(a) Only cleaning</w:t>
      </w:r>
    </w:p>
    <w:p>
      <w:pPr>
        <w:spacing w:after="200" w:line="276" w:lineRule="auto"/>
      </w:pPr>
      <w:r>
        <w:t>(b) Policy making, surveillance, outbreak response and staff education</w:t>
      </w:r>
    </w:p>
    <w:p>
      <w:pPr>
        <w:spacing w:after="200" w:line="276" w:lineRule="auto"/>
      </w:pPr>
      <w:r>
        <w:t>(c) Only billing</w:t>
      </w:r>
    </w:p>
    <w:p>
      <w:pPr>
        <w:spacing w:after="200" w:line="276" w:lineRule="auto"/>
      </w:pPr>
      <w:r>
        <w:t>(d) No role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Policy making, surveillance, outbreak response and staff education</w:t>
      </w:r>
    </w:p>
    <w:p>
      <w:pPr>
        <w:spacing w:after="200" w:line="276" w:lineRule="auto"/>
      </w:pPr>
      <w:r>
        <w:t>🧠 Clinical Rationale: HICC coordinates prevention, audits compliance and manages outbreaks.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Infection Control - Committee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Policy making, surveillance, outbreak response and staff education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cleaning — correct in another context, but not for this patient/drug link</w:t>
      </w:r>
    </w:p>
    <w:p>
      <w:pPr>
        <w:spacing w:after="200" w:line="276" w:lineRule="auto"/>
      </w:pPr>
      <w:r>
        <w:t>C. Only billing — correct in another context, but not for this patient/drug link</w:t>
      </w:r>
    </w:p>
    <w:p>
      <w:pPr>
        <w:spacing w:after="200" w:line="276" w:lineRule="auto"/>
      </w:pPr>
      <w:r>
        <w:t>D. No role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point-source outbreak produces an epidemic curve that is</w:t>
      </w:r>
    </w:p>
    <w:p>
      <w:pPr>
        <w:spacing w:after="200" w:line="276" w:lineRule="auto"/>
      </w:pPr>
      <w:r>
        <w:t>(a) Flat and prolonged</w:t>
      </w:r>
    </w:p>
    <w:p>
      <w:pPr>
        <w:spacing w:after="200" w:line="276" w:lineRule="auto"/>
      </w:pPr>
      <w:r>
        <w:t>(b) Sharp peak with cases clustering around one exposure time</w:t>
      </w:r>
    </w:p>
    <w:p>
      <w:pPr>
        <w:spacing w:after="200" w:line="276" w:lineRule="auto"/>
      </w:pPr>
      <w:r>
        <w:t>(c) Random</w:t>
      </w:r>
    </w:p>
    <w:p>
      <w:pPr>
        <w:spacing w:after="200" w:line="276" w:lineRule="auto"/>
      </w:pPr>
      <w:r>
        <w:t>(d) Always double-peaked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Sharp peak with cases clustering around one exposure time</w:t>
      </w:r>
    </w:p>
    <w:p>
      <w:pPr>
        <w:spacing w:after="200" w:line="276" w:lineRule="auto"/>
      </w:pPr>
      <w:r>
        <w:t>🧠 Clinical Rationale: Point-source: rapid rise and fall; propagated: successive waves.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Outbreak - Epidemic Curve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Sharp peak with cases clustering around one exposure time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Flat and prolonged — correct in another context, but not for this patient/drug link</w:t>
      </w:r>
    </w:p>
    <w:p>
      <w:pPr>
        <w:spacing w:after="200" w:line="276" w:lineRule="auto"/>
      </w:pPr>
      <w:r>
        <w:t>C. Random — correct in another context, but not for this patient/drug link</w:t>
      </w:r>
    </w:p>
    <w:p>
      <w:pPr>
        <w:spacing w:after="200" w:line="276" w:lineRule="auto"/>
      </w:pPr>
      <w:r>
        <w:t>D. Always double-peaked — correct in another context, but not for this patient/drug link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