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An early sign of digoxin toxicity is</w:t>
      </w:r>
    </w:p>
    <w:p>
      <w:pPr>
        <w:spacing w:after="200" w:line="276" w:lineRule="auto"/>
      </w:pPr>
      <w:r>
        <w:t>(a) Nausea, anorexia and visual disturbances (yellow-green halos)</w:t>
      </w:r>
    </w:p>
    <w:p>
      <w:pPr>
        <w:spacing w:after="200" w:line="276" w:lineRule="auto"/>
      </w:pPr>
      <w:r>
        <w:t>(b) Tachycardia</w:t>
      </w:r>
    </w:p>
    <w:p>
      <w:pPr>
        <w:spacing w:after="200" w:line="276" w:lineRule="auto"/>
      </w:pPr>
      <w:r>
        <w:t>(c) Hypotension</w:t>
      </w:r>
    </w:p>
    <w:p>
      <w:pPr>
        <w:spacing w:after="200" w:line="276" w:lineRule="auto"/>
      </w:pPr>
      <w:r>
        <w:t>(d) Diarrhoea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Nausea, anorexia and visual disturbances (yellow-green halos)</w:t>
      </w:r>
    </w:p>
    <w:p>
      <w:pPr>
        <w:spacing w:after="200" w:line="276" w:lineRule="auto"/>
      </w:pPr>
      <w:r>
        <w:t>🧠 Clinical Rationale: GI + visual symptoms and arrhythmias signal toxicity; check levels and potassium.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Digoxin - Toxicity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Nausea, anorexia and visual disturbances (yellow-green halos)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Tachycardia — correct in another context, but not for this patient/drug link</w:t>
      </w:r>
    </w:p>
    <w:p>
      <w:pPr>
        <w:spacing w:after="200" w:line="276" w:lineRule="auto"/>
      </w:pPr>
      <w:r>
        <w:t>C. Hypotension — correct in another context, but not for this patient/drug link</w:t>
      </w:r>
    </w:p>
    <w:p>
      <w:pPr>
        <w:spacing w:after="200" w:line="276" w:lineRule="auto"/>
      </w:pPr>
      <w:r>
        <w:t>D. Diarrhoea only — correct in another context, but not for this patient/drug link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Atropine (antimuscarinic) is used in bradycardia because it</w:t>
      </w:r>
    </w:p>
    <w:p>
      <w:pPr>
        <w:spacing w:after="200" w:line="276" w:lineRule="auto"/>
      </w:pPr>
      <w:r>
        <w:t>(a) Slows the heart</w:t>
      </w:r>
    </w:p>
    <w:p>
      <w:pPr>
        <w:spacing w:after="200" w:line="276" w:lineRule="auto"/>
      </w:pPr>
      <w:r>
        <w:t>(b) Constricts pupils</w:t>
      </w:r>
    </w:p>
    <w:p>
      <w:pPr>
        <w:spacing w:after="200" w:line="276" w:lineRule="auto"/>
      </w:pPr>
      <w:r>
        <w:t>(c) Blocks vagal tone, increasing heart rate</w:t>
      </w:r>
    </w:p>
    <w:p>
      <w:pPr>
        <w:spacing w:after="200" w:line="276" w:lineRule="auto"/>
      </w:pPr>
      <w:r>
        <w:t>(d) Reduces secretions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Blocks vagal tone, increasing heart rate</w:t>
      </w:r>
    </w:p>
    <w:p>
      <w:pPr>
        <w:spacing w:after="200" w:line="276" w:lineRule="auto"/>
      </w:pPr>
      <w:r>
        <w:t>🧠 Clinical Rationale: Atropine counters vagally mediated bradycardia; causes dry mouth, mydriasis, urinary retention.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Bradycardia — conduction block / drug toxicity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Atropine - Effect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Blocks vagal tone, increasing heart rate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Slows the heart — correct in another context, but not for this patient/drug link</w:t>
      </w:r>
    </w:p>
    <w:p>
      <w:pPr>
        <w:spacing w:after="200" w:line="276" w:lineRule="auto"/>
      </w:pPr>
      <w:r>
        <w:t>B. Constricts pupils — correct in another context, but not for this patient/drug link</w:t>
      </w:r>
    </w:p>
    <w:p>
      <w:pPr>
        <w:spacing w:after="200" w:line="276" w:lineRule="auto"/>
      </w:pPr>
      <w:r>
        <w:t>D. Reduces secretions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Grapefruit juice raises levels of which drugs?</w:t>
      </w:r>
    </w:p>
    <w:p>
      <w:pPr>
        <w:spacing w:after="200" w:line="276" w:lineRule="auto"/>
      </w:pPr>
      <w:r>
        <w:t>(a) Penicillins</w:t>
      </w:r>
    </w:p>
    <w:p>
      <w:pPr>
        <w:spacing w:after="200" w:line="276" w:lineRule="auto"/>
      </w:pPr>
      <w:r>
        <w:t>(b) Statins, calcium-channel blockers and some immunosuppressants (CYP3A4 inhibition)</w:t>
      </w:r>
    </w:p>
    <w:p>
      <w:pPr>
        <w:spacing w:after="200" w:line="276" w:lineRule="auto"/>
      </w:pPr>
      <w:r>
        <w:t>(c) Paracetamol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Statins, calcium-channel blockers and some immunosuppressants (CYP3A4 inhibition)</w:t>
      </w:r>
    </w:p>
    <w:p>
      <w:pPr>
        <w:spacing w:after="200" w:line="276" w:lineRule="auto"/>
      </w:pPr>
      <w:r>
        <w:t>🧠 Clinical Rationale: Furanocoumarins inhibit intestinal CYP3A4 — myopathy risk with simvastatin etc.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Interaction - Grapefruit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Statins, calcium-channel blockers and some immunosuppressants (CYP3A4 inhibition)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Penicillins — correct in another context, but not for this patient/drug link</w:t>
      </w:r>
    </w:p>
    <w:p>
      <w:pPr>
        <w:spacing w:after="200" w:line="276" w:lineRule="auto"/>
      </w:pPr>
      <w:r>
        <w:t>C. Paracetamol — correct in another context, but not for this patient/drug link</w:t>
      </w:r>
    </w:p>
    <w:p>
      <w:pPr>
        <w:spacing w:after="200" w:line="276" w:lineRule="auto"/>
      </w:pPr>
      <w:r>
        <w:t>D. Insulin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Rifampicin, as a strong enzyme inducer, can</w:t>
      </w:r>
    </w:p>
    <w:p>
      <w:pPr>
        <w:spacing w:after="200" w:line="276" w:lineRule="auto"/>
      </w:pPr>
      <w:r>
        <w:t>(a) Raise drug levels</w:t>
      </w:r>
    </w:p>
    <w:p>
      <w:pPr>
        <w:spacing w:after="200" w:line="276" w:lineRule="auto"/>
      </w:pPr>
      <w:r>
        <w:t>(b) Cause bradycardia</w:t>
      </w:r>
    </w:p>
    <w:p>
      <w:pPr>
        <w:spacing w:after="200" w:line="276" w:lineRule="auto"/>
      </w:pPr>
      <w:r>
        <w:t>(c) Reduce the effectiveness of OCPs, warfarin and many drugs</w:t>
      </w:r>
    </w:p>
    <w:p>
      <w:pPr>
        <w:spacing w:after="200" w:line="276" w:lineRule="auto"/>
      </w:pPr>
      <w:r>
        <w:t>(d) Increase sedation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 the effectiveness of OCPs, warfarin and many drugs</w:t>
      </w:r>
    </w:p>
    <w:p>
      <w:pPr>
        <w:spacing w:after="200" w:line="276" w:lineRule="auto"/>
      </w:pPr>
      <w:r>
        <w:t>🧠 Clinical Rationale: Induction accelerates metabolism — alternative contraception and dose review needed.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CYP Inducer - Rifampicin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Reduce the effectiveness of OCPs, warfarin and many drugs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 drug levels — correct in another context, but not for this patient/drug link</w:t>
      </w:r>
    </w:p>
    <w:p>
      <w:pPr>
        <w:spacing w:after="200" w:line="276" w:lineRule="auto"/>
      </w:pPr>
      <w:r>
        <w:t>B. Cause bradycardia — correct in another context, but not for this patient/drug link</w:t>
      </w:r>
    </w:p>
    <w:p>
      <w:pPr>
        <w:spacing w:after="200" w:line="276" w:lineRule="auto"/>
      </w:pPr>
      <w:r>
        <w:t>D. Increase sedation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 with a narrow therapeutic index (e.g., lithium, digoxin, warfarin) requires</w:t>
      </w:r>
    </w:p>
    <w:p>
      <w:pPr>
        <w:spacing w:after="200" w:line="276" w:lineRule="auto"/>
      </w:pPr>
      <w:r>
        <w:t>(a) No monitoring</w:t>
      </w:r>
    </w:p>
    <w:p>
      <w:pPr>
        <w:spacing w:after="200" w:line="276" w:lineRule="auto"/>
      </w:pPr>
      <w:r>
        <w:t>(b) Higher doses</w:t>
      </w:r>
    </w:p>
    <w:p>
      <w:pPr>
        <w:spacing w:after="200" w:line="276" w:lineRule="auto"/>
      </w:pPr>
      <w:r>
        <w:t>(c) Only once-yearly review</w:t>
      </w:r>
    </w:p>
    <w:p>
      <w:pPr>
        <w:spacing w:after="200" w:line="276" w:lineRule="auto"/>
      </w:pPr>
      <w:r>
        <w:t>(d) Close monitoring of levels and response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Close monitoring of levels and response</w:t>
      </w:r>
    </w:p>
    <w:p>
      <w:pPr>
        <w:spacing w:after="200" w:line="276" w:lineRule="auto"/>
      </w:pPr>
      <w:r>
        <w:t>🧠 Clinical Rationale: Narrow TI drugs need TDM — small changes cause toxicity or loss of effect.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Therapeutic Index - Meaning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Close monitoring of levels and response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monitoring — correct in another context, but not for this patient/drug link</w:t>
      </w:r>
    </w:p>
    <w:p>
      <w:pPr>
        <w:spacing w:after="200" w:line="276" w:lineRule="auto"/>
      </w:pPr>
      <w:r>
        <w:t>B. Higher doses — correct in another context, but not for this patient/drug link</w:t>
      </w:r>
    </w:p>
    <w:p>
      <w:pPr>
        <w:spacing w:after="200" w:line="276" w:lineRule="auto"/>
      </w:pPr>
      <w:r>
        <w:t>C. Only once-yearly review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first-pass effect refers to</w:t>
      </w:r>
    </w:p>
    <w:p>
      <w:pPr>
        <w:spacing w:after="200" w:line="276" w:lineRule="auto"/>
      </w:pPr>
      <w:r>
        <w:t>(a) Metabolism of oral drugs by the liver before systemic circulation</w:t>
      </w:r>
    </w:p>
    <w:p>
      <w:pPr>
        <w:spacing w:after="200" w:line="276" w:lineRule="auto"/>
      </w:pPr>
      <w:r>
        <w:t>(b) Renal excretion</w:t>
      </w:r>
    </w:p>
    <w:p>
      <w:pPr>
        <w:spacing w:after="200" w:line="276" w:lineRule="auto"/>
      </w:pPr>
      <w:r>
        <w:t>(c) Absorption in the stomach</w:t>
      </w:r>
    </w:p>
    <w:p>
      <w:pPr>
        <w:spacing w:after="200" w:line="276" w:lineRule="auto"/>
      </w:pPr>
      <w:r>
        <w:t>(d) Binding to albumin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Metabolism of oral drugs by the liver before systemic circulation</w:t>
      </w:r>
    </w:p>
    <w:p>
      <w:pPr>
        <w:spacing w:after="200" w:line="276" w:lineRule="auto"/>
      </w:pPr>
      <w:r>
        <w:t>🧠 Clinical Rationale: Hepatic first-pass reduces oral bioavailability; sublingual/IV routes bypass 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First-Pass - Effect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Metabolism of oral drugs by the liver before systemic circulation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Renal excretion — correct in another context, but not for this patient/drug link</w:t>
      </w:r>
    </w:p>
    <w:p>
      <w:pPr>
        <w:spacing w:after="200" w:line="276" w:lineRule="auto"/>
      </w:pPr>
      <w:r>
        <w:t>C. Absorption in the stomach — correct in another context, but not for this patient/drug link</w:t>
      </w:r>
    </w:p>
    <w:p>
      <w:pPr>
        <w:spacing w:after="200" w:line="276" w:lineRule="auto"/>
      </w:pPr>
      <w:r>
        <w:t>D. Binding to albumin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drug's half-life determines</w:t>
      </w:r>
    </w:p>
    <w:p>
      <w:pPr>
        <w:spacing w:after="200" w:line="276" w:lineRule="auto"/>
      </w:pPr>
      <w:r>
        <w:t>(a) Only its price</w:t>
      </w:r>
    </w:p>
    <w:p>
      <w:pPr>
        <w:spacing w:after="200" w:line="276" w:lineRule="auto"/>
      </w:pPr>
      <w:r>
        <w:t>(b) Its colour</w:t>
      </w:r>
    </w:p>
    <w:p>
      <w:pPr>
        <w:spacing w:after="200" w:line="276" w:lineRule="auto"/>
      </w:pPr>
      <w:r>
        <w:t>(c) Its route</w:t>
      </w:r>
    </w:p>
    <w:p>
      <w:pPr>
        <w:spacing w:after="200" w:line="276" w:lineRule="auto"/>
      </w:pPr>
      <w:r>
        <w:t>(d) Dosing interval and time to steady state (≈5 half-lives)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Dosing interval and time to steady state (≈5 half-lives)</w:t>
      </w:r>
    </w:p>
    <w:p>
      <w:pPr>
        <w:spacing w:after="200" w:line="276" w:lineRule="auto"/>
      </w:pPr>
      <w:r>
        <w:t>🧠 Clinical Rationale: Steady state in ~4-5 half-lives; dosing intervals are usually around one half-life.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Half-Life - Clinical 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Dosing interval and time to steady state (≈5 half-lives)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its price — correct in another context, but not for this patient/drug link</w:t>
      </w:r>
    </w:p>
    <w:p>
      <w:pPr>
        <w:spacing w:after="200" w:line="276" w:lineRule="auto"/>
      </w:pPr>
      <w:r>
        <w:t>B. Its colour — correct in another context, but not for this patient/drug link</w:t>
      </w:r>
    </w:p>
    <w:p>
      <w:pPr>
        <w:spacing w:after="200" w:line="276" w:lineRule="auto"/>
      </w:pPr>
      <w:r>
        <w:t>C. Its route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Type B (idiosyncratic) adverse drug reaction is</w:t>
      </w:r>
    </w:p>
    <w:p>
      <w:pPr>
        <w:spacing w:after="200" w:line="276" w:lineRule="auto"/>
      </w:pPr>
      <w:r>
        <w:t>(a) Dose-dependent</w:t>
      </w:r>
    </w:p>
    <w:p>
      <w:pPr>
        <w:spacing w:after="200" w:line="276" w:lineRule="auto"/>
      </w:pPr>
      <w:r>
        <w:t>(b) Unpredictable, not dose-related (e.g., anaphylaxis to penicillin)</w:t>
      </w:r>
    </w:p>
    <w:p>
      <w:pPr>
        <w:spacing w:after="200" w:line="276" w:lineRule="auto"/>
      </w:pPr>
      <w:r>
        <w:t>(c) Expected toxicity</w:t>
      </w:r>
    </w:p>
    <w:p>
      <w:pPr>
        <w:spacing w:after="200" w:line="276" w:lineRule="auto"/>
      </w:pPr>
      <w:r>
        <w:t>(d) Mild nausea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Unpredictable, not dose-related (e.g., anaphylaxis to penicillin)</w:t>
      </w:r>
    </w:p>
    <w:p>
      <w:pPr>
        <w:spacing w:after="200" w:line="276" w:lineRule="auto"/>
      </w:pPr>
      <w:r>
        <w:t>🧠 Clinical Rationale: Type B = hypersensitivity/idiosyncrasy — unrelated to dose, often immune-mediated.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Adverse Reaction - Type B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Unpredictable, not dose-related (e.g., anaphylaxis to penicillin)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Dose-dependent — correct in another context, but not for this patient/drug link</w:t>
      </w:r>
    </w:p>
    <w:p>
      <w:pPr>
        <w:spacing w:after="200" w:line="276" w:lineRule="auto"/>
      </w:pPr>
      <w:r>
        <w:t>C. Expected toxicity — correct in another context, but not for this patient/drug link</w:t>
      </w:r>
    </w:p>
    <w:p>
      <w:pPr>
        <w:spacing w:after="200" w:line="276" w:lineRule="auto"/>
      </w:pPr>
      <w:r>
        <w:t>D. Mild nausea — correct in another context, but not for this patient/drug link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Anaphylaxis</w:t>
      </w:r>
    </w:p>
    <w:p>
      <w:pPr>
        <w:spacing w:after="200" w:line="276" w:lineRule="auto"/>
      </w:pPr>
      <w:r>
        <w:t>→ First: IM epinephrine 1:1000 (0.3–0.5 mg adult, anterolateral thigh)</w:t>
      </w:r>
    </w:p>
    <w:p>
      <w:pPr>
        <w:spacing w:after="200" w:line="276" w:lineRule="auto"/>
      </w:pPr>
      <w:r>
        <w:t>→ Then: airway/oxygen, IV fluids, antihistamines, steroids</w:t>
      </w:r>
    </w:p>
    <w:p>
      <w:pPr>
        <w:spacing w:after="200" w:line="276" w:lineRule="auto"/>
      </w:pPr>
      <w:r>
        <w:t>→ Prevent: identify allergen, allergy band, EpiPen education</w:t>
      </w:r>
    </w:p>
    <w:p>
      <w:pPr>
        <w:spacing w:after="200" w:line="276" w:lineRule="auto"/>
      </w:pPr>
      <w:r>
        <w:t>→ Late-phase reaction possible — observe for 4–6 h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antagonist drug</w:t>
      </w:r>
    </w:p>
    <w:p>
      <w:pPr>
        <w:spacing w:after="200" w:line="276" w:lineRule="auto"/>
      </w:pPr>
      <w:r>
        <w:t>(a) Activates the receptor</w:t>
      </w:r>
    </w:p>
    <w:p>
      <w:pPr>
        <w:spacing w:after="200" w:line="276" w:lineRule="auto"/>
      </w:pPr>
      <w:r>
        <w:t>(b) Binds the receptor and blocks the effect of the agonist</w:t>
      </w:r>
    </w:p>
    <w:p>
      <w:pPr>
        <w:spacing w:after="200" w:line="276" w:lineRule="auto"/>
      </w:pPr>
      <w:r>
        <w:t>(c) Increases receptor numbers</w:t>
      </w:r>
    </w:p>
    <w:p>
      <w:pPr>
        <w:spacing w:after="200" w:line="276" w:lineRule="auto"/>
      </w:pPr>
      <w:r>
        <w:t>(d) Has no receptor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Binds the receptor and blocks the effect of the agonist</w:t>
      </w:r>
    </w:p>
    <w:p>
      <w:pPr>
        <w:spacing w:after="200" w:line="276" w:lineRule="auto"/>
      </w:pPr>
      <w:r>
        <w:t>🧠 Clinical Rationale: Antagonists occupy receptors without activation — competitive or non-competitive.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Receptor - Agonist vs Antagonist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Binds the receptor and blocks the effect of the agonist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Activates the receptor — correct in another context, but not for this patient/drug link</w:t>
      </w:r>
    </w:p>
    <w:p>
      <w:pPr>
        <w:spacing w:after="200" w:line="276" w:lineRule="auto"/>
      </w:pPr>
      <w:r>
        <w:t>C. Increases receptor numbers — correct in another context, but not for this patient/drug link</w:t>
      </w:r>
    </w:p>
    <w:p>
      <w:pPr>
        <w:spacing w:after="200" w:line="276" w:lineRule="auto"/>
      </w:pPr>
      <w:r>
        <w:t>D. Has no receptor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Paediatric doses are MOST safely calculated by</w:t>
      </w:r>
    </w:p>
    <w:p>
      <w:pPr>
        <w:spacing w:after="200" w:line="276" w:lineRule="auto"/>
      </w:pPr>
      <w:r>
        <w:t>(a) Adult dose divided by age</w:t>
      </w:r>
    </w:p>
    <w:p>
      <w:pPr>
        <w:spacing w:after="200" w:line="276" w:lineRule="auto"/>
      </w:pPr>
      <w:r>
        <w:t>(b) Body surface area for chemo only</w:t>
      </w:r>
    </w:p>
    <w:p>
      <w:pPr>
        <w:spacing w:after="200" w:line="276" w:lineRule="auto"/>
      </w:pPr>
      <w:r>
        <w:t>(c) Guessing</w:t>
      </w:r>
    </w:p>
    <w:p>
      <w:pPr>
        <w:spacing w:after="200" w:line="276" w:lineRule="auto"/>
      </w:pPr>
      <w:r>
        <w:t>(d) Body weight (mg/kg) with reassessment as weight changes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Body weight (mg/kg) with reassessment as weight changes</w:t>
      </w:r>
    </w:p>
    <w:p>
      <w:pPr>
        <w:spacing w:after="200" w:line="276" w:lineRule="auto"/>
      </w:pPr>
      <w:r>
        <w:t>🧠 Clinical Rationale: Weight-based dosing is standard; BSA used for chemotherapy; check max doses.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Dosing Rule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Body weight (mg/kg) with reassessment as weight changes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dose divided by age — correct in another context, but not for this patient/drug link</w:t>
      </w:r>
    </w:p>
    <w:p>
      <w:pPr>
        <w:spacing w:after="200" w:line="276" w:lineRule="auto"/>
      </w:pPr>
      <w:r>
        <w:t>B. Body surface area for chemo only — correct in another context, but not for this patient/drug link</w:t>
      </w:r>
    </w:p>
    <w:p>
      <w:pPr>
        <w:spacing w:after="200" w:line="276" w:lineRule="auto"/>
      </w:pPr>
      <w:r>
        <w:t>C. Guessing — correct in another context, but not for this patient/drug link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specific and sensitive biomarker for myocardial necrosis is</w:t>
      </w:r>
    </w:p>
    <w:p>
      <w:pPr>
        <w:spacing w:after="200" w:line="276" w:lineRule="auto"/>
      </w:pPr>
      <w:r>
        <w:t>(a) CK-MB only</w:t>
      </w:r>
    </w:p>
    <w:p>
      <w:pPr>
        <w:spacing w:after="200" w:line="276" w:lineRule="auto"/>
      </w:pPr>
      <w:r>
        <w:t>(b) LDH</w:t>
      </w:r>
    </w:p>
    <w:p>
      <w:pPr>
        <w:spacing w:after="200" w:line="276" w:lineRule="auto"/>
      </w:pPr>
      <w:r>
        <w:t>(c) CRP</w:t>
      </w:r>
    </w:p>
    <w:p>
      <w:pPr>
        <w:spacing w:after="200" w:line="276" w:lineRule="auto"/>
      </w:pPr>
      <w:r>
        <w:t>(d) High-sensitivity cardiac troponin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High-sensitivity cardiac troponin</w:t>
      </w:r>
    </w:p>
    <w:p>
      <w:pPr>
        <w:spacing w:after="200" w:line="276" w:lineRule="auto"/>
      </w:pPr>
      <w:r>
        <w:t>🧠 Clinical Rationale: hs-cTn rises within 1-3 hours and remains elevated — cornerstone of MI diagnosis.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 - Biomarker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High-sensitivity cardiac troponin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CK-MB only — correct in another context, but not for this patient/drug link</w:t>
      </w:r>
    </w:p>
    <w:p>
      <w:pPr>
        <w:spacing w:after="200" w:line="276" w:lineRule="auto"/>
      </w:pPr>
      <w:r>
        <w:t>B. LDH — correct in another context, but not for this patient/drug link</w:t>
      </w:r>
    </w:p>
    <w:p>
      <w:pPr>
        <w:spacing w:after="200" w:line="276" w:lineRule="auto"/>
      </w:pPr>
      <w:r>
        <w:t>C. CRP — correct in another context, but not for this patient/drug link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kidney injury commonly produces</w:t>
      </w:r>
    </w:p>
    <w:p>
      <w:pPr>
        <w:spacing w:after="200" w:line="276" w:lineRule="auto"/>
      </w:pPr>
      <w:r>
        <w:t>(a) Hypokalaemia</w:t>
      </w:r>
    </w:p>
    <w:p>
      <w:pPr>
        <w:spacing w:after="200" w:line="276" w:lineRule="auto"/>
      </w:pPr>
      <w:r>
        <w:t>(b) Alkalosis</w:t>
      </w:r>
    </w:p>
    <w:p>
      <w:pPr>
        <w:spacing w:after="200" w:line="276" w:lineRule="auto"/>
      </w:pPr>
      <w:r>
        <w:t>(c) Hyperkalaemia, metabolic acidosis, uraemia and fluid overload</w:t>
      </w:r>
    </w:p>
    <w:p>
      <w:pPr>
        <w:spacing w:after="200" w:line="276" w:lineRule="auto"/>
      </w:pPr>
      <w:r>
        <w:t>(d) Hypernatraemia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Hyperkalaemia, metabolic acidosis, uraemia and fluid overload</w:t>
      </w:r>
    </w:p>
    <w:p>
      <w:pPr>
        <w:spacing w:after="200" w:line="276" w:lineRule="auto"/>
      </w:pPr>
      <w:r>
        <w:t>🧠 Clinical Rationale: AKI impairs K+ and acid excretion — monitor ECG, electrolytes and urine output.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Renal Failure - Metabolic Findings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Hyperkalaemia, metabolic acidosis, uraemia and fluid overload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Hypokalaemia — correct in another context, but not for this patient/drug link</w:t>
      </w:r>
    </w:p>
    <w:p>
      <w:pPr>
        <w:spacing w:after="200" w:line="276" w:lineRule="auto"/>
      </w:pPr>
      <w:r>
        <w:t>B. Alkalosis — correct in another context, but not for this patient/drug link</w:t>
      </w:r>
    </w:p>
    <w:p>
      <w:pPr>
        <w:spacing w:after="200" w:line="276" w:lineRule="auto"/>
      </w:pPr>
      <w:r>
        <w:t>D. Hypernatraemia — correct in another context, but not for this patient/drug link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Diabetes is diagnosed when HbA1c is</w:t>
      </w:r>
    </w:p>
    <w:p>
      <w:pPr>
        <w:spacing w:after="200" w:line="276" w:lineRule="auto"/>
      </w:pPr>
      <w:r>
        <w:t>(a) &gt;= 6.5%</w:t>
      </w:r>
    </w:p>
    <w:p>
      <w:pPr>
        <w:spacing w:after="200" w:line="276" w:lineRule="auto"/>
      </w:pPr>
      <w:r>
        <w:t>(b) &gt;= 5.0%</w:t>
      </w:r>
    </w:p>
    <w:p>
      <w:pPr>
        <w:spacing w:after="200" w:line="276" w:lineRule="auto"/>
      </w:pPr>
      <w:r>
        <w:t>(c) &gt;= 7.5%</w:t>
      </w:r>
    </w:p>
    <w:p>
      <w:pPr>
        <w:spacing w:after="200" w:line="276" w:lineRule="auto"/>
      </w:pPr>
      <w:r>
        <w:t>(d) &gt;= 8.0%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&gt;= 6.5%</w:t>
      </w:r>
    </w:p>
    <w:p>
      <w:pPr>
        <w:spacing w:after="200" w:line="276" w:lineRule="auto"/>
      </w:pPr>
      <w:r>
        <w:t>🧠 Clinical Rationale: HbA1c ≥6.5% (48 mmol/mol) on two occasions, or FPG ≥126 mg/dL, or 2-h OGTT ≥200 mg/dL.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- Diagnostic HbA1c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&gt;= 6.5%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&gt;= 5.0% — correct in another context, but not for this patient/drug link</w:t>
      </w:r>
    </w:p>
    <w:p>
      <w:pPr>
        <w:spacing w:after="200" w:line="276" w:lineRule="auto"/>
      </w:pPr>
      <w:r>
        <w:t>C. &gt;= 7.5% — correct in another context, but not for this patient/drug link</w:t>
      </w:r>
    </w:p>
    <w:p>
      <w:pPr>
        <w:spacing w:after="200" w:line="276" w:lineRule="auto"/>
      </w:pPr>
      <w:r>
        <w:t>D. &gt;= 8.0%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Diabetic ketoacidosis produces which acid-base disturbance?</w:t>
      </w:r>
    </w:p>
    <w:p>
      <w:pPr>
        <w:spacing w:after="200" w:line="276" w:lineRule="auto"/>
      </w:pPr>
      <w:r>
        <w:t>(a) Respiratory acidosis</w:t>
      </w:r>
    </w:p>
    <w:p>
      <w:pPr>
        <w:spacing w:after="200" w:line="276" w:lineRule="auto"/>
      </w:pPr>
      <w:r>
        <w:t>(b) Metabolic alkalosis</w:t>
      </w:r>
    </w:p>
    <w:p>
      <w:pPr>
        <w:spacing w:after="200" w:line="276" w:lineRule="auto"/>
      </w:pPr>
      <w:r>
        <w:t>(c) Normal gap acidosis</w:t>
      </w:r>
    </w:p>
    <w:p>
      <w:pPr>
        <w:spacing w:after="200" w:line="276" w:lineRule="auto"/>
      </w:pPr>
      <w:r>
        <w:t>(d) High anion-gap metabolic acidosis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 anion-gap metabolic acidosis</w:t>
      </w:r>
    </w:p>
    <w:p>
      <w:pPr>
        <w:spacing w:after="200" w:line="276" w:lineRule="auto"/>
      </w:pPr>
      <w:r>
        <w:t>🧠 Clinical Rationale: Ketones (beta-hydroxybutyrate, acetoacetate) widen the anion gap; treat with insulin + fluids.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DKA - ABG Pattern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High anion-gap metabolic acidosis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Respiratory acidosis — correct in another context, but not for this patient/drug link</w:t>
      </w:r>
    </w:p>
    <w:p>
      <w:pPr>
        <w:spacing w:after="200" w:line="276" w:lineRule="auto"/>
      </w:pPr>
      <w:r>
        <w:t>B. Metabolic alkalosis — correct in another context, but not for this patient/drug link</w:t>
      </w:r>
    </w:p>
    <w:p>
      <w:pPr>
        <w:spacing w:after="200" w:line="276" w:lineRule="auto"/>
      </w:pPr>
      <w:r>
        <w:t>C. Normal gap acidosis — correct in another context, but not for this patient/drug link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Thrombocytopenia in cirrhosis results from</w:t>
      </w:r>
    </w:p>
    <w:p>
      <w:pPr>
        <w:spacing w:after="200" w:line="276" w:lineRule="auto"/>
      </w:pPr>
      <w:r>
        <w:t>(a) Hypersplenism and reduced thrombopoietin production</w:t>
      </w:r>
    </w:p>
    <w:p>
      <w:pPr>
        <w:spacing w:after="200" w:line="276" w:lineRule="auto"/>
      </w:pPr>
      <w:r>
        <w:t>(b) Increased marrow production</w:t>
      </w:r>
    </w:p>
    <w:p>
      <w:pPr>
        <w:spacing w:after="200" w:line="276" w:lineRule="auto"/>
      </w:pPr>
      <w:r>
        <w:t>(c) Vitamin K excess</w:t>
      </w:r>
    </w:p>
    <w:p>
      <w:pPr>
        <w:spacing w:after="200" w:line="276" w:lineRule="auto"/>
      </w:pPr>
      <w:r>
        <w:t>(d) Iron overload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Hypersplenism and reduced thrombopoietin production</w:t>
      </w:r>
    </w:p>
    <w:p>
      <w:pPr>
        <w:spacing w:after="200" w:line="276" w:lineRule="auto"/>
      </w:pPr>
      <w:r>
        <w:t>🧠 Clinical Rationale: Portal hypertension causes splenic sequestration; also decreased TPO from the liver.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Cirrhosis - Platelet Count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Hypersplenism and reduced thrombopoietin production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Increased marrow production — correct in another context, but not for this patient/drug link</w:t>
      </w:r>
    </w:p>
    <w:p>
      <w:pPr>
        <w:spacing w:after="200" w:line="276" w:lineRule="auto"/>
      </w:pPr>
      <w:r>
        <w:t>C. Vitamin K excess — correct in another context, but not for this patient/drug link</w:t>
      </w:r>
    </w:p>
    <w:p>
      <w:pPr>
        <w:spacing w:after="200" w:line="276" w:lineRule="auto"/>
      </w:pPr>
      <w:r>
        <w:t>D. Iron overload only — correct in another context, but not for this patient/drug link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stable severe COPD patient typically has</w:t>
      </w:r>
    </w:p>
    <w:p>
      <w:pPr>
        <w:spacing w:after="200" w:line="276" w:lineRule="auto"/>
      </w:pPr>
      <w:r>
        <w:t>(a) Chronic respiratory acidosis with compensatory metabolic alkalosis (high HCO3)</w:t>
      </w:r>
    </w:p>
    <w:p>
      <w:pPr>
        <w:spacing w:after="200" w:line="276" w:lineRule="auto"/>
      </w:pPr>
      <w:r>
        <w:t>(b) Acute respiratory alkalosis</w:t>
      </w:r>
    </w:p>
    <w:p>
      <w:pPr>
        <w:spacing w:after="200" w:line="276" w:lineRule="auto"/>
      </w:pPr>
      <w:r>
        <w:t>(c) Normal ABG</w:t>
      </w:r>
    </w:p>
    <w:p>
      <w:pPr>
        <w:spacing w:after="200" w:line="276" w:lineRule="auto"/>
      </w:pPr>
      <w:r>
        <w:t>(d) Metabolic acidosis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Chronic respiratory acidosis with compensatory metabolic alkalosis (high HCO3)</w:t>
      </w:r>
    </w:p>
    <w:p>
      <w:pPr>
        <w:spacing w:after="200" w:line="276" w:lineRule="auto"/>
      </w:pPr>
      <w:r>
        <w:t>🧠 Clinical Rationale: Chronic CO2 retention raises HCO3 compensatorily — avoid over-correction with oxygen.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COPD - ABG Chronic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Chronic respiratory acidosis with compensatory metabolic alkalosis (high HCO3)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Acute respiratory alkalosis — correct in another context, but not for this patient/drug link</w:t>
      </w:r>
    </w:p>
    <w:p>
      <w:pPr>
        <w:spacing w:after="200" w:line="276" w:lineRule="auto"/>
      </w:pPr>
      <w:r>
        <w:t>C. Normal ABG — correct in another context, but not for this patient/drug link</w:t>
      </w:r>
    </w:p>
    <w:p>
      <w:pPr>
        <w:spacing w:after="200" w:line="276" w:lineRule="auto"/>
      </w:pPr>
      <w:r>
        <w:t>D. Metabolic acidosis — correct in another context, but not for this patient/drug link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Raised serum lactate in sepsis indicates</w:t>
      </w:r>
    </w:p>
    <w:p>
      <w:pPr>
        <w:spacing w:after="200" w:line="276" w:lineRule="auto"/>
      </w:pPr>
      <w:r>
        <w:t>(a) Good perfusion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Tissue hypoperfusion and poor prognosis — guide resuscitation</w:t>
      </w:r>
    </w:p>
    <w:p>
      <w:pPr>
        <w:spacing w:after="200" w:line="276" w:lineRule="auto"/>
      </w:pPr>
      <w:r>
        <w:t>(d) No significance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Tissue hypoperfusion and poor prognosis — guide resuscitation</w:t>
      </w:r>
    </w:p>
    <w:p>
      <w:pPr>
        <w:spacing w:after="200" w:line="276" w:lineRule="auto"/>
      </w:pPr>
      <w:r>
        <w:t>🧠 Clinical Rationale: Lactate ≥2 mmol/L with suspected infection prompts the sepsis bundle; trending guides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Sepsis - Lactate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Tissue hypoperfusion and poor prognosis — guide resuscitation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Good perfusion — correct in another context, but not for this patient/drug link</w:t>
      </w:r>
    </w:p>
    <w:p>
      <w:pPr>
        <w:spacing w:after="200" w:line="276" w:lineRule="auto"/>
      </w:pPr>
      <w:r>
        <w:t>B. Hyperglycaemia — correct in another context, but not for this patient/drug link</w:t>
      </w:r>
    </w:p>
    <w:p>
      <w:pPr>
        <w:spacing w:after="200" w:line="276" w:lineRule="auto"/>
      </w:pPr>
      <w:r>
        <w:t>D. No significance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Lobar pneumonia on chest X-ray typically shows</w:t>
      </w:r>
    </w:p>
    <w:p>
      <w:pPr>
        <w:spacing w:after="200" w:line="276" w:lineRule="auto"/>
      </w:pPr>
      <w:r>
        <w:t>(a) Hyperinflation</w:t>
      </w:r>
    </w:p>
    <w:p>
      <w:pPr>
        <w:spacing w:after="200" w:line="276" w:lineRule="auto"/>
      </w:pPr>
      <w:r>
        <w:t>(b) Pneumothorax</w:t>
      </w:r>
    </w:p>
    <w:p>
      <w:pPr>
        <w:spacing w:after="200" w:line="276" w:lineRule="auto"/>
      </w:pPr>
      <w:r>
        <w:t>(c) Consolidation (air bronchograms) in a lobe</w:t>
      </w:r>
    </w:p>
    <w:p>
      <w:pPr>
        <w:spacing w:after="200" w:line="276" w:lineRule="auto"/>
      </w:pPr>
      <w:r>
        <w:t>(d) Normal lung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Consolidation (air bronchograms) in a lobe</w:t>
      </w:r>
    </w:p>
    <w:p>
      <w:pPr>
        <w:spacing w:after="200" w:line="276" w:lineRule="auto"/>
      </w:pPr>
      <w:r>
        <w:t>🧠 Clinical Rationale: Consolidation fills alveoli with exudate — opacification with air bronchograms.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Pneumonia - CXR Finding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Consolidation (air bronchograms) in a lobe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Hyperinflation — correct in another context, but not for this patient/drug link</w:t>
      </w:r>
    </w:p>
    <w:p>
      <w:pPr>
        <w:spacing w:after="200" w:line="276" w:lineRule="auto"/>
      </w:pPr>
      <w:r>
        <w:t>B. Pneumothorax — correct in another context, but not for this patient/drug link</w:t>
      </w:r>
    </w:p>
    <w:p>
      <w:pPr>
        <w:spacing w:after="200" w:line="276" w:lineRule="auto"/>
      </w:pPr>
      <w:r>
        <w:t>D. Normal lung — correct in another context, but not for this patient/drug link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mosquito injects which stage of Plasmodium into humans?</w:t>
      </w:r>
    </w:p>
    <w:p>
      <w:pPr>
        <w:spacing w:after="200" w:line="276" w:lineRule="auto"/>
      </w:pPr>
      <w:r>
        <w:t>(a) Merozoites</w:t>
      </w:r>
    </w:p>
    <w:p>
      <w:pPr>
        <w:spacing w:after="200" w:line="276" w:lineRule="auto"/>
      </w:pPr>
      <w:r>
        <w:t>(b) Sporozoites</w:t>
      </w:r>
    </w:p>
    <w:p>
      <w:pPr>
        <w:spacing w:after="200" w:line="276" w:lineRule="auto"/>
      </w:pPr>
      <w:r>
        <w:t>(c) Gametocytes</w:t>
      </w:r>
    </w:p>
    <w:p>
      <w:pPr>
        <w:spacing w:after="200" w:line="276" w:lineRule="auto"/>
      </w:pPr>
      <w:r>
        <w:t>(d) Trophozoites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Sporozoites</w:t>
      </w:r>
    </w:p>
    <w:p>
      <w:pPr>
        <w:spacing w:after="200" w:line="276" w:lineRule="auto"/>
      </w:pPr>
      <w:r>
        <w:t>🧠 Clinical Rationale: Sporozoites travel to the liver; gametocytes are taken up by mosquitoes.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Malaria - Parasite Stage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Sporozoites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Merozoites — correct in another context, but not for this patient/drug link</w:t>
      </w:r>
    </w:p>
    <w:p>
      <w:pPr>
        <w:spacing w:after="200" w:line="276" w:lineRule="auto"/>
      </w:pPr>
      <w:r>
        <w:t>C. Gametocytes — correct in another context, but not for this patient/drug link</w:t>
      </w:r>
    </w:p>
    <w:p>
      <w:pPr>
        <w:spacing w:after="200" w:line="276" w:lineRule="auto"/>
      </w:pPr>
      <w:r>
        <w:t>D. Trophozoites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fundamental pathology of pre-eclampsia/eclampsia is</w:t>
      </w:r>
    </w:p>
    <w:p>
      <w:pPr>
        <w:spacing w:after="200" w:line="276" w:lineRule="auto"/>
      </w:pPr>
      <w:r>
        <w:t>(a) Increased blood volume</w:t>
      </w:r>
    </w:p>
    <w:p>
      <w:pPr>
        <w:spacing w:after="200" w:line="276" w:lineRule="auto"/>
      </w:pPr>
      <w:r>
        <w:t>(b) Placental ischaemia with generalised endothelial dysfunction and vasospasm</w:t>
      </w:r>
    </w:p>
    <w:p>
      <w:pPr>
        <w:spacing w:after="200" w:line="276" w:lineRule="auto"/>
      </w:pPr>
      <w:r>
        <w:t>(c) Placental hormone excess only</w:t>
      </w:r>
    </w:p>
    <w:p>
      <w:pPr>
        <w:spacing w:after="200" w:line="276" w:lineRule="auto"/>
      </w:pPr>
      <w:r>
        <w:t>(d) Renal hyperfiltration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Placental ischaemia with generalised endothelial dysfunction and vasospasm</w:t>
      </w:r>
    </w:p>
    <w:p>
      <w:pPr>
        <w:spacing w:after="200" w:line="276" w:lineRule="auto"/>
      </w:pPr>
      <w:r>
        <w:t>🧠 Clinical Rationale: Poor placentation → anti-angiogenic factors → endothelial injury, hypertension, proteinuria, seizures.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Eclampsia - Pathophysiology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Placental ischaemia with generalised endothelial dysfunction and vasospasm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blood volume — correct in another context, but not for this patient/drug link</w:t>
      </w:r>
    </w:p>
    <w:p>
      <w:pPr>
        <w:spacing w:after="200" w:line="276" w:lineRule="auto"/>
      </w:pPr>
      <w:r>
        <w:t>C. Placental hormone excess only — correct in another context, but not for this patient/drug link</w:t>
      </w:r>
    </w:p>
    <w:p>
      <w:pPr>
        <w:spacing w:after="200" w:line="276" w:lineRule="auto"/>
      </w:pPr>
      <w:r>
        <w:t>D. Renal hyperfiltration — correct in another context, but not for this patient/drug link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