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most dangerous complication of Guillain-Barré syndrome is</w:t>
      </w:r>
    </w:p>
    <w:p>
      <w:pPr>
        <w:spacing w:after="200" w:line="276" w:lineRule="auto"/>
      </w:pPr>
      <w:r>
        <w:t>(a) Respiratory failure from ascending paralysis — monitor FVC and bulbar function</w:t>
      </w:r>
    </w:p>
    <w:p>
      <w:pPr>
        <w:spacing w:after="200" w:line="276" w:lineRule="auto"/>
      </w:pPr>
      <w:r>
        <w:t>(b) Hypertension</w:t>
      </w:r>
    </w:p>
    <w:p>
      <w:pPr>
        <w:spacing w:after="200" w:line="276" w:lineRule="auto"/>
      </w:pPr>
      <w:r>
        <w:t>(c) Seizures</w:t>
      </w:r>
    </w:p>
    <w:p>
      <w:pPr>
        <w:spacing w:after="200" w:line="276" w:lineRule="auto"/>
      </w:pPr>
      <w:r>
        <w:t>(d) Hyperglycaemia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Respiratory failure from ascending paralysis — monitor FVC and bulbar function</w:t>
      </w:r>
    </w:p>
    <w:p>
      <w:pPr>
        <w:spacing w:after="200" w:line="276" w:lineRule="auto"/>
      </w:pPr>
      <w:r>
        <w:t>🧠 Clinical Rationale: Track vital capacity, cough strength and swallowing; intubate early if FVC &lt;20 mL/kg or declining.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GBS - Priority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Respiratory failure from ascending paralysis — monitor FVC and bulbar 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Hypertension — correct in another context, but not for this patient/drug link</w:t>
      </w:r>
    </w:p>
    <w:p>
      <w:pPr>
        <w:spacing w:after="200" w:line="276" w:lineRule="auto"/>
      </w:pPr>
      <w:r>
        <w:t>C. Seizures — correct in another context, but not for this patient/drug link</w:t>
      </w:r>
    </w:p>
    <w:p>
      <w:pPr>
        <w:spacing w:after="200" w:line="276" w:lineRule="auto"/>
      </w:pPr>
      <w:r>
        <w:t>D. Hyperglycaemia — correct in another context, but not for this patient/drug link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myasthenic crisis is distinguished from cholinergic crisis by</w:t>
      </w:r>
    </w:p>
    <w:p>
      <w:pPr>
        <w:spacing w:after="200" w:line="276" w:lineRule="auto"/>
      </w:pPr>
      <w:r>
        <w:t>(a) Fever pattern</w:t>
      </w:r>
    </w:p>
    <w:p>
      <w:pPr>
        <w:spacing w:after="200" w:line="276" w:lineRule="auto"/>
      </w:pPr>
      <w:r>
        <w:t>(b) ECG changes</w:t>
      </w:r>
    </w:p>
    <w:p>
      <w:pPr>
        <w:spacing w:after="200" w:line="276" w:lineRule="auto"/>
      </w:pPr>
      <w:r>
        <w:t>(c) Tensilon (edrophonium) test response or atropine trial — improves in myasthenic crisis</w:t>
      </w:r>
    </w:p>
    <w:p>
      <w:pPr>
        <w:spacing w:after="200" w:line="276" w:lineRule="auto"/>
      </w:pPr>
      <w:r>
        <w:t>(d) Blood glucose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Tensilon (edrophonium) test response or atropine trial — improves in myasthenic crisis</w:t>
      </w:r>
    </w:p>
    <w:p>
      <w:pPr>
        <w:spacing w:after="200" w:line="276" w:lineRule="auto"/>
      </w:pPr>
      <w:r>
        <w:t>🧠 Clinical Rationale: Edrophonium improves myasthenic crisis and worsens cholinergic crisis (overdose of pyridostigmine).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Myasthenic Crisis - Differentiate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Tensilon (edrophonium) test response or atropine trial — improves in myasthenic crisis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pattern — correct in another context, but not for this patient/drug link</w:t>
      </w:r>
    </w:p>
    <w:p>
      <w:pPr>
        <w:spacing w:after="200" w:line="276" w:lineRule="auto"/>
      </w:pPr>
      <w:r>
        <w:t>B. ECG changes — correct in another context, but not for this patient/drug link</w:t>
      </w:r>
    </w:p>
    <w:p>
      <w:pPr>
        <w:spacing w:after="200" w:line="276" w:lineRule="auto"/>
      </w:pPr>
      <w:r>
        <w:t>D. Blood glucose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Spinal shock is characterised by</w:t>
      </w:r>
    </w:p>
    <w:p>
      <w:pPr>
        <w:spacing w:after="200" w:line="276" w:lineRule="auto"/>
      </w:pPr>
      <w:r>
        <w:t>(a) Flaccid paralysis, areflexia and loss of autonomic function below the injury</w:t>
      </w:r>
    </w:p>
    <w:p>
      <w:pPr>
        <w:spacing w:after="200" w:line="276" w:lineRule="auto"/>
      </w:pPr>
      <w:r>
        <w:t>(b) Spasticity</w:t>
      </w:r>
    </w:p>
    <w:p>
      <w:pPr>
        <w:spacing w:after="200" w:line="276" w:lineRule="auto"/>
      </w:pPr>
      <w:r>
        <w:t>(c) Hyperreflexia</w:t>
      </w:r>
    </w:p>
    <w:p>
      <w:pPr>
        <w:spacing w:after="200" w:line="276" w:lineRule="auto"/>
      </w:pPr>
      <w:r>
        <w:t>(d) Babinski positive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Flaccid paralysis, areflexia and loss of autonomic function below the injury</w:t>
      </w:r>
    </w:p>
    <w:p>
      <w:pPr>
        <w:spacing w:after="200" w:line="276" w:lineRule="auto"/>
      </w:pPr>
      <w:r>
        <w:t>🧠 Clinical Rationale: Initially flaccid (spinal shock), later spastic — distinguish from neurogenic shock (hypotension, bradycardia).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Spinal Shock - Phase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Flaccid paralysis, areflexia and loss of autonomic function below the injury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Spasticity — correct in another context, but not for this patient/drug link</w:t>
      </w:r>
    </w:p>
    <w:p>
      <w:pPr>
        <w:spacing w:after="200" w:line="276" w:lineRule="auto"/>
      </w:pPr>
      <w:r>
        <w:t>C. Hyperreflexia — correct in another context, but not for this patient/drug link</w:t>
      </w:r>
    </w:p>
    <w:p>
      <w:pPr>
        <w:spacing w:after="200" w:line="276" w:lineRule="auto"/>
      </w:pPr>
      <w:r>
        <w:t>D. Babinski positive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treatment of established status epilepticus (&gt;5 min) is</w:t>
      </w:r>
    </w:p>
    <w:p>
      <w:pPr>
        <w:spacing w:after="200" w:line="276" w:lineRule="auto"/>
      </w:pPr>
      <w:r>
        <w:t>(a) Oral tablets</w:t>
      </w:r>
    </w:p>
    <w:p>
      <w:pPr>
        <w:spacing w:after="200" w:line="276" w:lineRule="auto"/>
      </w:pPr>
      <w:r>
        <w:t>(b) Observation</w:t>
      </w:r>
    </w:p>
    <w:p>
      <w:pPr>
        <w:spacing w:after="200" w:line="276" w:lineRule="auto"/>
      </w:pPr>
      <w:r>
        <w:t>(c) IV lorazepam/diazepam then a loading anticonvulsant (phenytoin/levetiracetam)</w:t>
      </w:r>
    </w:p>
    <w:p>
      <w:pPr>
        <w:spacing w:after="200" w:line="276" w:lineRule="auto"/>
      </w:pPr>
      <w:r>
        <w:t>(d) Only oxygen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lorazepam/diazepam then a loading anticonvulsant (phenytoin/levetiracetam)</w:t>
      </w:r>
    </w:p>
    <w:p>
      <w:pPr>
        <w:spacing w:after="200" w:line="276" w:lineRule="auto"/>
      </w:pPr>
      <w:r>
        <w:t>🧠 Clinical Rationale: Benzodiazepine first, then second-line; refractory status needs anaesthesia (midazolam/propofol).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Epilepsy - Status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IV lorazepam/diazepam then a loading anticonvulsant (phenytoin/levetiracetam)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tablets — correct in another context, but not for this patient/drug link</w:t>
      </w:r>
    </w:p>
    <w:p>
      <w:pPr>
        <w:spacing w:after="200" w:line="276" w:lineRule="auto"/>
      </w:pPr>
      <w:r>
        <w:t>B. Observation — correct in another context, but not for this patient/drug link</w:t>
      </w:r>
    </w:p>
    <w:p>
      <w:pPr>
        <w:spacing w:after="200" w:line="276" w:lineRule="auto"/>
      </w:pPr>
      <w:r>
        <w:t>D. Only oxygen — correct in another context, but not for this patient/drug link</w:t>
      </w:r>
    </w:p>
    <w:p>
      <w:pPr>
        <w:spacing w:after="200" w:line="276" w:lineRule="auto"/>
      </w:pPr>
      <w:r>
        <w:t>⚠️ Exam Trap: First-line drug for status epilepticus is a benzodiazepine, followed by phenytoin — not waiting or giving oral drugs.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Status epilepticus (seizure ≥ 5 min or repeated without recovery) → IV benzodiazepine (lorazepam/diazepam)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Status epilepticus</w:t>
      </w:r>
    </w:p>
    <w:p>
      <w:pPr>
        <w:spacing w:after="200" w:line="276" w:lineRule="auto"/>
      </w:pPr>
      <w:r>
        <w:t>→ First: IV lorazepam (or diazepam) — benzodiazepine</w:t>
      </w:r>
    </w:p>
    <w:p>
      <w:pPr>
        <w:spacing w:after="200" w:line="276" w:lineRule="auto"/>
      </w:pPr>
      <w:r>
        <w:t>→ Second: phenytoin/fosphenytoin IV</w:t>
      </w:r>
    </w:p>
    <w:p>
      <w:pPr>
        <w:spacing w:after="200" w:line="276" w:lineRule="auto"/>
      </w:pPr>
      <w:r>
        <w:t>→ Support: ABC, oxygen, glucose check, side-lying</w:t>
      </w:r>
    </w:p>
    <w:p>
      <w:pPr>
        <w:spacing w:after="200" w:line="276" w:lineRule="auto"/>
      </w:pPr>
      <w:r>
        <w:t>→ A treatable cause may be hypoglycaemia — check glucose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Prerenal AKI is distinguished from ATN by</w:t>
      </w:r>
    </w:p>
    <w:p>
      <w:pPr>
        <w:spacing w:after="200" w:line="276" w:lineRule="auto"/>
      </w:pPr>
      <w:r>
        <w:t>(a) High FENa</w:t>
      </w:r>
    </w:p>
    <w:p>
      <w:pPr>
        <w:spacing w:after="200" w:line="276" w:lineRule="auto"/>
      </w:pPr>
      <w:r>
        <w:t>(b) Isosthenuria</w:t>
      </w:r>
    </w:p>
    <w:p>
      <w:pPr>
        <w:spacing w:after="200" w:line="276" w:lineRule="auto"/>
      </w:pPr>
      <w:r>
        <w:t>(c) Casts</w:t>
      </w:r>
    </w:p>
    <w:p>
      <w:pPr>
        <w:spacing w:after="200" w:line="276" w:lineRule="auto"/>
      </w:pPr>
      <w:r>
        <w:t>(d) Low FENa (&lt;1%), high urine osmolality and BUN:Cr &gt;20 (responds to fluids)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Low FENa (&lt;1%), high urine osmolality and BUN:Cr &gt;20 (responds to fluids)</w:t>
      </w:r>
    </w:p>
    <w:p>
      <w:pPr>
        <w:spacing w:after="200" w:line="276" w:lineRule="auto"/>
      </w:pPr>
      <w:r>
        <w:t>🧠 Clinical Rationale: Prerenal: kidneys conserve sodium (FENa &lt;1%); ATN: tubular damage (FENa &gt;2%, muddy casts).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AKI - Prerenal vs ATN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Low FENa (&lt;1%), high urine osmolality and BUN:Cr &gt;20 (responds to fluids)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FENa — correct in another context, but not for this patient/drug link</w:t>
      </w:r>
    </w:p>
    <w:p>
      <w:pPr>
        <w:spacing w:after="200" w:line="276" w:lineRule="auto"/>
      </w:pPr>
      <w:r>
        <w:t>B. Isosthenuria — correct in another context, but not for this patient/drug link</w:t>
      </w:r>
    </w:p>
    <w:p>
      <w:pPr>
        <w:spacing w:after="200" w:line="276" w:lineRule="auto"/>
      </w:pPr>
      <w:r>
        <w:t>C. Casts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ECG change of hyperkalaemia is</w:t>
      </w:r>
    </w:p>
    <w:p>
      <w:pPr>
        <w:spacing w:after="200" w:line="276" w:lineRule="auto"/>
      </w:pPr>
      <w:r>
        <w:t>(a) Prolonged QT</w:t>
      </w:r>
    </w:p>
    <w:p>
      <w:pPr>
        <w:spacing w:after="200" w:line="276" w:lineRule="auto"/>
      </w:pPr>
      <w:r>
        <w:t>(b) ST depression</w:t>
      </w:r>
    </w:p>
    <w:p>
      <w:pPr>
        <w:spacing w:after="200" w:line="276" w:lineRule="auto"/>
      </w:pPr>
      <w:r>
        <w:t>(c) U waves</w:t>
      </w:r>
    </w:p>
    <w:p>
      <w:pPr>
        <w:spacing w:after="200" w:line="276" w:lineRule="auto"/>
      </w:pPr>
      <w:r>
        <w:t>(d) Tall peaked T waves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Tall peaked T waves</w:t>
      </w:r>
    </w:p>
    <w:p>
      <w:pPr>
        <w:spacing w:after="200" w:line="276" w:lineRule="auto"/>
      </w:pPr>
      <w:r>
        <w:t>🧠 Clinical Rationale: Peaked T waves → widened QRS → sine wave; treat with calcium, insulin-glucose, salbutamol, kayexalate.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Hyperkalaemia - ECG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Tall peaked T waves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Prolonged QT — correct in another context, but not for this patient/drug link</w:t>
      </w:r>
    </w:p>
    <w:p>
      <w:pPr>
        <w:spacing w:after="200" w:line="276" w:lineRule="auto"/>
      </w:pPr>
      <w:r>
        <w:t>B. ST depression — correct in another context, but not for this patient/drug link</w:t>
      </w:r>
    </w:p>
    <w:p>
      <w:pPr>
        <w:spacing w:after="200" w:line="276" w:lineRule="auto"/>
      </w:pPr>
      <w:r>
        <w:t>C. U waves — correct in another context, but not for this patient/drug link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SIADH is managed with</w:t>
      </w:r>
    </w:p>
    <w:p>
      <w:pPr>
        <w:spacing w:after="200" w:line="276" w:lineRule="auto"/>
      </w:pPr>
      <w:r>
        <w:t>(a) Free water boluses</w:t>
      </w:r>
    </w:p>
    <w:p>
      <w:pPr>
        <w:spacing w:after="200" w:line="276" w:lineRule="auto"/>
      </w:pPr>
      <w:r>
        <w:t>(b) Fluid restriction and careful sodium correction; demeclocycline/vaptans if severe</w:t>
      </w:r>
    </w:p>
    <w:p>
      <w:pPr>
        <w:spacing w:after="200" w:line="276" w:lineRule="auto"/>
      </w:pPr>
      <w:r>
        <w:t>(c) Hypertonic saline routinely</w:t>
      </w:r>
    </w:p>
    <w:p>
      <w:pPr>
        <w:spacing w:after="200" w:line="276" w:lineRule="auto"/>
      </w:pPr>
      <w:r>
        <w:t>(d) Diuretics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Fluid restriction and careful sodium correction; demeclocycline/vaptans if severe</w:t>
      </w:r>
    </w:p>
    <w:p>
      <w:pPr>
        <w:spacing w:after="200" w:line="276" w:lineRule="auto"/>
      </w:pPr>
      <w:r>
        <w:t>🧠 Clinical Rationale: Euvolemic hyponatraemia from SIADH — restrict fluids; correct slowly to avoid osmotic demyelination.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SIADH -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Fluid restriction and careful sodium correction; demeclocycline/vaptans if severe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 water boluses — correct in another context, but not for this patient/drug link</w:t>
      </w:r>
    </w:p>
    <w:p>
      <w:pPr>
        <w:spacing w:after="200" w:line="276" w:lineRule="auto"/>
      </w:pPr>
      <w:r>
        <w:t>C. Hypertonic saline routinely — correct in another context, but not for this patient/drug link</w:t>
      </w:r>
    </w:p>
    <w:p>
      <w:pPr>
        <w:spacing w:after="200" w:line="276" w:lineRule="auto"/>
      </w:pPr>
      <w:r>
        <w:t>D. Diuretics only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storm presents with</w:t>
      </w:r>
    </w:p>
    <w:p>
      <w:pPr>
        <w:spacing w:after="200" w:line="276" w:lineRule="auto"/>
      </w:pPr>
      <w:r>
        <w:t>(a) Bradycardia and hypothermia</w:t>
      </w:r>
    </w:p>
    <w:p>
      <w:pPr>
        <w:spacing w:after="200" w:line="276" w:lineRule="auto"/>
      </w:pPr>
      <w:r>
        <w:t>(b) Fever, tachycardia, agitation, vomiting and delirium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Fever, tachycardia, agitation, vomiting and delirium</w:t>
      </w:r>
    </w:p>
    <w:p>
      <w:pPr>
        <w:spacing w:after="200" w:line="276" w:lineRule="auto"/>
      </w:pPr>
      <w:r>
        <w:t>🧠 Clinical Rationale: Hypermetabolic crisis — beta-blockers, thionamides, steroids, iodine (after PTU), cooling.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Thyroid Storm -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Fever, tachycardia, agitation, vomiting and delirium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and hypothermia — correct in another context, but not for this patient/drug link</w:t>
      </w:r>
    </w:p>
    <w:p>
      <w:pPr>
        <w:spacing w:after="200" w:line="276" w:lineRule="auto"/>
      </w:pPr>
      <w:r>
        <w:t>C. Weight gain — correct in another context, but not for this patient/drug link</w:t>
      </w:r>
    </w:p>
    <w:p>
      <w:pPr>
        <w:spacing w:after="200" w:line="276" w:lineRule="auto"/>
      </w:pPr>
      <w:r>
        <w:t>D. Constipation — correct in another context, but not for this patient/drug link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immediate treatment of adrenal crisis is</w:t>
      </w:r>
    </w:p>
    <w:p>
      <w:pPr>
        <w:spacing w:after="200" w:line="276" w:lineRule="auto"/>
      </w:pPr>
      <w:r>
        <w:t>(a) Oral steroids only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Diuretics</w:t>
      </w:r>
    </w:p>
    <w:p>
      <w:pPr>
        <w:spacing w:after="200" w:line="276" w:lineRule="auto"/>
      </w:pPr>
      <w:r>
        <w:t>(d) IV hydrocortisone (100 mg) + normal saline with glucose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IV hydrocortisone (100 mg) + normal saline with glucose</w:t>
      </w:r>
    </w:p>
    <w:p>
      <w:pPr>
        <w:spacing w:after="200" w:line="276" w:lineRule="auto"/>
      </w:pPr>
      <w:r>
        <w:t>🧠 Clinical Rationale: Hydrocortisone and volume resuscitation; correct hypoglycaemia, hyponatraemia and hyperkalaemia.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Addisonian Crisis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IV hydrocortisone (100 mg) + normal saline with glucose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steroids only — correct in another context, but not for this patient/drug link</w:t>
      </w:r>
    </w:p>
    <w:p>
      <w:pPr>
        <w:spacing w:after="200" w:line="276" w:lineRule="auto"/>
      </w:pPr>
      <w:r>
        <w:t>B. Insulin — correct in another context, but not for this patient/drug link</w:t>
      </w:r>
    </w:p>
    <w:p>
      <w:pPr>
        <w:spacing w:after="200" w:line="276" w:lineRule="auto"/>
      </w:pPr>
      <w:r>
        <w:t>C. Diuretics — correct in another context, but not for this patient/drug link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conscious hypoglycaemic patient (&lt;70 mg/dL) should receive</w:t>
      </w:r>
    </w:p>
    <w:p>
      <w:pPr>
        <w:spacing w:after="200" w:line="276" w:lineRule="auto"/>
      </w:pPr>
      <w:r>
        <w:t>(a) Long-acting insulin</w:t>
      </w:r>
    </w:p>
    <w:p>
      <w:pPr>
        <w:spacing w:after="200" w:line="276" w:lineRule="auto"/>
      </w:pPr>
      <w:r>
        <w:t>(b) 15 g fast-acting carbohydrate (glucose tablets/juice), recheck in 15 min</w:t>
      </w:r>
    </w:p>
    <w:p>
      <w:pPr>
        <w:spacing w:after="200" w:line="276" w:lineRule="auto"/>
      </w:pPr>
      <w:r>
        <w:t>(c) Water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15 g fast-acting carbohydrate (glucose tablets/juice), recheck in 15 min</w:t>
      </w:r>
    </w:p>
    <w:p>
      <w:pPr>
        <w:spacing w:after="200" w:line="276" w:lineRule="auto"/>
      </w:pPr>
      <w:r>
        <w:t>🧠 Clinical Rationale: Rule of 15: 15 g carbs, retest in 15 min; unconscious → IV dextrose or IM glucagon.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70 mg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Diabetes - Hypoglycaemia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15 g fast-acting carbohydrate (glucose tablets/juice), recheck in 15 min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Long-acting insulin — correct in another context, but not for this patient/drug link</w:t>
      </w:r>
    </w:p>
    <w:p>
      <w:pPr>
        <w:spacing w:after="200" w:line="276" w:lineRule="auto"/>
      </w:pPr>
      <w:r>
        <w:t>C. Water — correct in another context, but not for this patient/drug link</w:t>
      </w:r>
    </w:p>
    <w:p>
      <w:pPr>
        <w:spacing w:after="200" w:line="276" w:lineRule="auto"/>
      </w:pPr>
      <w:r>
        <w:t>D. Nothing — correct in another context, but not for this patient/drug link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Regular insulin given IV in DKA acts</w:t>
      </w:r>
    </w:p>
    <w:p>
      <w:pPr>
        <w:spacing w:after="200" w:line="276" w:lineRule="auto"/>
      </w:pPr>
      <w:r>
        <w:t>(a) In 4 hours</w:t>
      </w:r>
    </w:p>
    <w:p>
      <w:pPr>
        <w:spacing w:after="200" w:line="276" w:lineRule="auto"/>
      </w:pPr>
      <w:r>
        <w:t>(b) Only orally</w:t>
      </w:r>
    </w:p>
    <w:p>
      <w:pPr>
        <w:spacing w:after="200" w:line="276" w:lineRule="auto"/>
      </w:pPr>
      <w:r>
        <w:t>(c) Never in DKA</w:t>
      </w:r>
    </w:p>
    <w:p>
      <w:pPr>
        <w:spacing w:after="200" w:line="276" w:lineRule="auto"/>
      </w:pPr>
      <w:r>
        <w:t>(d) Rapidly (onset ~10-30 min) — titrate hourly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Rapidly (onset ~10-30 min) — titrate hourly</w:t>
      </w:r>
    </w:p>
    <w:p>
      <w:pPr>
        <w:spacing w:after="200" w:line="276" w:lineRule="auto"/>
      </w:pPr>
      <w:r>
        <w:t>🧠 Clinical Rationale: IV regular insulin (0.1 U/kg/h) with hourly glucose and potassium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Insulin - Sliding Scale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Rapidly (onset ~10-30 min) — titrate hourly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 4 hours — correct in another context, but not for this patient/drug link</w:t>
      </w:r>
    </w:p>
    <w:p>
      <w:pPr>
        <w:spacing w:after="200" w:line="276" w:lineRule="auto"/>
      </w:pPr>
      <w:r>
        <w:t>B. Only orally — correct in another context, but not for this patient/drug link</w:t>
      </w:r>
    </w:p>
    <w:p>
      <w:pPr>
        <w:spacing w:after="200" w:line="276" w:lineRule="auto"/>
      </w:pPr>
      <w:r>
        <w:t>C. Never in DKA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Features of Cushing's syndrome include</w:t>
      </w:r>
    </w:p>
    <w:p>
      <w:pPr>
        <w:spacing w:after="200" w:line="276" w:lineRule="auto"/>
      </w:pPr>
      <w:r>
        <w:t>(a) Central obesity, moon face, striae, hyperglycaemia and hypertension</w:t>
      </w:r>
    </w:p>
    <w:p>
      <w:pPr>
        <w:spacing w:after="200" w:line="276" w:lineRule="auto"/>
      </w:pPr>
      <w:r>
        <w:t>(b) Weight loss</w:t>
      </w:r>
    </w:p>
    <w:p>
      <w:pPr>
        <w:spacing w:after="200" w:line="276" w:lineRule="auto"/>
      </w:pPr>
      <w:r>
        <w:t>(c) Hyperpigmentation</w:t>
      </w:r>
    </w:p>
    <w:p>
      <w:pPr>
        <w:spacing w:after="200" w:line="276" w:lineRule="auto"/>
      </w:pPr>
      <w:r>
        <w:t>(d) Goitre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Central obesity, moon face, striae, hyperglycaemia and hypertension</w:t>
      </w:r>
    </w:p>
    <w:p>
      <w:pPr>
        <w:spacing w:after="200" w:line="276" w:lineRule="auto"/>
      </w:pPr>
      <w:r>
        <w:t>🧠 Clinical Rationale: Cortisol excess: truncal obesity, buffalo hump, purple striae; confirm with dexamethasone suppression.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Cushing's - Presentation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Central obesity, moon face, striae, hyperglycaemia and hypertension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loss — correct in another context, but not for this patient/drug link</w:t>
      </w:r>
    </w:p>
    <w:p>
      <w:pPr>
        <w:spacing w:after="200" w:line="276" w:lineRule="auto"/>
      </w:pPr>
      <w:r>
        <w:t>C. Hyperpigmentation — correct in another context, but not for this patient/drug link</w:t>
      </w:r>
    </w:p>
    <w:p>
      <w:pPr>
        <w:spacing w:after="200" w:line="276" w:lineRule="auto"/>
      </w:pPr>
      <w:r>
        <w:t>D. Goitre — correct in another context, but not for this patient/drug link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Adrenal disorders</w:t>
      </w:r>
    </w:p>
    <w:p>
      <w:pPr>
        <w:spacing w:after="200" w:line="276" w:lineRule="auto"/>
      </w:pPr>
      <w:r>
        <w:t>→ Addison's: hypotension, hyperkalaemia, hyponatraemia, fatigue, pigmentation</w:t>
      </w:r>
    </w:p>
    <w:p>
      <w:pPr>
        <w:spacing w:after="200" w:line="276" w:lineRule="auto"/>
      </w:pPr>
      <w:r>
        <w:t>→ Crisis: hydrocortisone IV + saline + glucose; never delay steroids</w:t>
      </w:r>
    </w:p>
    <w:p>
      <w:pPr>
        <w:spacing w:after="200" w:line="276" w:lineRule="auto"/>
      </w:pPr>
      <w:r>
        <w:t>→ Cushing's: moon face, buffalo hump, hyperglycaemia, poor wound healing</w:t>
      </w:r>
    </w:p>
    <w:p>
      <w:pPr>
        <w:spacing w:after="200" w:line="276" w:lineRule="auto"/>
      </w:pPr>
      <w:r>
        <w:t>→ Steroid tapering: never stop glucocorticoids abruptly (adrenal suppression)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acute variceal bleeding includes</w:t>
      </w:r>
    </w:p>
    <w:p>
      <w:pPr>
        <w:spacing w:after="200" w:line="276" w:lineRule="auto"/>
      </w:pPr>
      <w:r>
        <w:t>(a) Lactulose only</w:t>
      </w:r>
    </w:p>
    <w:p>
      <w:pPr>
        <w:spacing w:after="200" w:line="276" w:lineRule="auto"/>
      </w:pPr>
      <w:r>
        <w:t>(b) Surgery immediately</w:t>
      </w:r>
    </w:p>
    <w:p>
      <w:pPr>
        <w:spacing w:after="200" w:line="276" w:lineRule="auto"/>
      </w:pPr>
      <w:r>
        <w:t>(c) Resuscitation, octreotide, antibiotics and early endoscopy with band ligation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Resuscitation, octreotide, antibiotics and early endoscopy with band ligation</w:t>
      </w:r>
    </w:p>
    <w:p>
      <w:pPr>
        <w:spacing w:after="200" w:line="276" w:lineRule="auto"/>
      </w:pPr>
      <w:r>
        <w:t>🧠 Clinical Rationale: Volume resuscitation (transfuse to Hb 7-9), vasoactive drugs, prophylactic antibiotics, endoscopy within 12 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Variceal Bleed - First Step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Resuscitation, octreotide, antibiotics and early endoscopy with band ligation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Lactulose only — correct in another context, but not for this patient/drug link</w:t>
      </w:r>
    </w:p>
    <w:p>
      <w:pPr>
        <w:spacing w:after="200" w:line="276" w:lineRule="auto"/>
      </w:pPr>
      <w:r>
        <w:t>B. Surgery immediately — correct in another context, but not for this patient/drug link</w:t>
      </w:r>
    </w:p>
    <w:p>
      <w:pPr>
        <w:spacing w:after="200" w:line="276" w:lineRule="auto"/>
      </w:pPr>
      <w:r>
        <w:t>D. Diuretics — correct in another context, but not for this patient/drug link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precipitant of hepatic encephalopathy is</w:t>
      </w:r>
    </w:p>
    <w:p>
      <w:pPr>
        <w:spacing w:after="200" w:line="276" w:lineRule="auto"/>
      </w:pPr>
      <w:r>
        <w:t>(a) High protein always</w:t>
      </w:r>
    </w:p>
    <w:p>
      <w:pPr>
        <w:spacing w:after="200" w:line="276" w:lineRule="auto"/>
      </w:pPr>
      <w:r>
        <w:t>(b) Exercise</w:t>
      </w:r>
    </w:p>
    <w:p>
      <w:pPr>
        <w:spacing w:after="200" w:line="276" w:lineRule="auto"/>
      </w:pPr>
      <w:r>
        <w:t>(c) GI bleeding, constipation, infection or electrolyte disturbance</w:t>
      </w:r>
    </w:p>
    <w:p>
      <w:pPr>
        <w:spacing w:after="200" w:line="276" w:lineRule="auto"/>
      </w:pPr>
      <w:r>
        <w:t>(d) Cold weather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GI bleeding, constipation, infection or electrolyte disturbance</w:t>
      </w:r>
    </w:p>
    <w:p>
      <w:pPr>
        <w:spacing w:after="200" w:line="276" w:lineRule="auto"/>
      </w:pPr>
      <w:r>
        <w:t>🧠 Clinical Rationale: Treat precipitant + lactulose; rifaximin for recurrence; avoid sedatives.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Hepatic Encephalopathy - Precipitant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GI bleeding, constipation, infection or electrolyte disturbance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protein always — correct in another context, but not for this patient/drug link</w:t>
      </w:r>
    </w:p>
    <w:p>
      <w:pPr>
        <w:spacing w:after="200" w:line="276" w:lineRule="auto"/>
      </w:pPr>
      <w:r>
        <w:t>B. Exercise — correct in another context, but not for this patient/drug link</w:t>
      </w:r>
    </w:p>
    <w:p>
      <w:pPr>
        <w:spacing w:after="200" w:line="276" w:lineRule="auto"/>
      </w:pPr>
      <w:r>
        <w:t>D. Cold weather — correct in another context, but not for this patient/drug link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poor prognostic sign in acute pancreatitis is</w:t>
      </w:r>
    </w:p>
    <w:p>
      <w:pPr>
        <w:spacing w:after="200" w:line="276" w:lineRule="auto"/>
      </w:pPr>
      <w:r>
        <w:t>(a) Normal lipase</w:t>
      </w:r>
    </w:p>
    <w:p>
      <w:pPr>
        <w:spacing w:after="200" w:line="276" w:lineRule="auto"/>
      </w:pPr>
      <w:r>
        <w:t>(b) Mild epigastric pain</w:t>
      </w:r>
    </w:p>
    <w:p>
      <w:pPr>
        <w:spacing w:after="200" w:line="276" w:lineRule="auto"/>
      </w:pPr>
      <w:r>
        <w:t>(c) Quick improvement</w:t>
      </w:r>
    </w:p>
    <w:p>
      <w:pPr>
        <w:spacing w:after="200" w:line="276" w:lineRule="auto"/>
      </w:pPr>
      <w:r>
        <w:t>(d) Rising haematocrit, low calcium, hypoxia and worsening organ failure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Rising haematocrit, low calcium, hypoxia and worsening organ failure</w:t>
      </w:r>
    </w:p>
    <w:p>
      <w:pPr>
        <w:spacing w:after="200" w:line="276" w:lineRule="auto"/>
      </w:pPr>
      <w:r>
        <w:t>🧠 Clinical Rationale: Monitor Ranson/Glasgow scores, organ failure and complications (necrosis, pseudocyst).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Pancreatitis - Severity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Rising haematocrit, low calcium, hypoxia and worsening organ failure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lipase — correct in another context, but not for this patient/drug link</w:t>
      </w:r>
    </w:p>
    <w:p>
      <w:pPr>
        <w:spacing w:after="200" w:line="276" w:lineRule="auto"/>
      </w:pPr>
      <w:r>
        <w:t>B. Mild epigastric pain — correct in another context, but not for this patient/drug link</w:t>
      </w:r>
    </w:p>
    <w:p>
      <w:pPr>
        <w:spacing w:after="200" w:line="276" w:lineRule="auto"/>
      </w:pPr>
      <w:r>
        <w:t>C. Quick improvement — correct in another context, but not for this patient/drug link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Murphy's sign (arrest of inspiration on RUQ palpation) suggests</w:t>
      </w:r>
    </w:p>
    <w:p>
      <w:pPr>
        <w:spacing w:after="200" w:line="276" w:lineRule="auto"/>
      </w:pPr>
      <w:r>
        <w:t>(a) Appendicitis</w:t>
      </w:r>
    </w:p>
    <w:p>
      <w:pPr>
        <w:spacing w:after="200" w:line="276" w:lineRule="auto"/>
      </w:pPr>
      <w:r>
        <w:t>(b) Acute cholecystitis</w:t>
      </w:r>
    </w:p>
    <w:p>
      <w:pPr>
        <w:spacing w:after="200" w:line="276" w:lineRule="auto"/>
      </w:pPr>
      <w:r>
        <w:t>(c) Diverticulitis</w:t>
      </w:r>
    </w:p>
    <w:p>
      <w:pPr>
        <w:spacing w:after="200" w:line="276" w:lineRule="auto"/>
      </w:pPr>
      <w:r>
        <w:t>(d) Hernia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Acute cholecystitis</w:t>
      </w:r>
    </w:p>
    <w:p>
      <w:pPr>
        <w:spacing w:after="200" w:line="276" w:lineRule="auto"/>
      </w:pPr>
      <w:r>
        <w:t>🧠 Clinical Rationale: Inflammation of the gallbladder stops inspiration during deep palpation — confirm with ultrasound.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Cholecystitis - Murphy's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Acute cholecystitis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Appendicitis — correct in another context, but not for this patient/drug link</w:t>
      </w:r>
    </w:p>
    <w:p>
      <w:pPr>
        <w:spacing w:after="200" w:line="276" w:lineRule="auto"/>
      </w:pPr>
      <w:r>
        <w:t>C. Diverticulitis — correct in another context, but not for this patient/drug link</w:t>
      </w:r>
    </w:p>
    <w:p>
      <w:pPr>
        <w:spacing w:after="200" w:line="276" w:lineRule="auto"/>
      </w:pPr>
      <w:r>
        <w:t>D. Hernia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Rebound tenderness in the right lower quadrant suggests</w:t>
      </w:r>
    </w:p>
    <w:p>
      <w:pPr>
        <w:spacing w:after="200" w:line="276" w:lineRule="auto"/>
      </w:pPr>
      <w:r>
        <w:t>(a) Simple constipation</w:t>
      </w:r>
    </w:p>
    <w:p>
      <w:pPr>
        <w:spacing w:after="200" w:line="276" w:lineRule="auto"/>
      </w:pPr>
      <w:r>
        <w:t>(b) Peritoneal irritation (appendicitis)</w:t>
      </w:r>
    </w:p>
    <w:p>
      <w:pPr>
        <w:spacing w:after="200" w:line="276" w:lineRule="auto"/>
      </w:pPr>
      <w:r>
        <w:t>(c) Gas</w:t>
      </w:r>
    </w:p>
    <w:p>
      <w:pPr>
        <w:spacing w:after="200" w:line="276" w:lineRule="auto"/>
      </w:pPr>
      <w:r>
        <w:t>(d) Muscle strain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Peritoneal irritation (appendicitis)</w:t>
      </w:r>
    </w:p>
    <w:p>
      <w:pPr>
        <w:spacing w:after="200" w:line="276" w:lineRule="auto"/>
      </w:pPr>
      <w:r>
        <w:t>🧠 Clinical Rationale: Peritonism indicates inflammation reaching the peritoneum — surgical referral, keep NPO.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Appendicitis - Rebound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Peritoneal irritation (appendicitis)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constipation — correct in another context, but not for this patient/drug link</w:t>
      </w:r>
    </w:p>
    <w:p>
      <w:pPr>
        <w:spacing w:after="200" w:line="276" w:lineRule="auto"/>
      </w:pPr>
      <w:r>
        <w:t>C. Gas — correct in another context, but not for this patient/drug link</w:t>
      </w:r>
    </w:p>
    <w:p>
      <w:pPr>
        <w:spacing w:after="200" w:line="276" w:lineRule="auto"/>
      </w:pPr>
      <w:r>
        <w:t>D. Muscle strain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Crohn's disease is characterised by</w:t>
      </w:r>
    </w:p>
    <w:p>
      <w:pPr>
        <w:spacing w:after="200" w:line="276" w:lineRule="auto"/>
      </w:pPr>
      <w:r>
        <w:t>(a) Continuous rectal-only inflammation</w:t>
      </w:r>
    </w:p>
    <w:p>
      <w:pPr>
        <w:spacing w:after="200" w:line="276" w:lineRule="auto"/>
      </w:pPr>
      <w:r>
        <w:t>(b) Never fistulising</w:t>
      </w:r>
    </w:p>
    <w:p>
      <w:pPr>
        <w:spacing w:after="200" w:line="276" w:lineRule="auto"/>
      </w:pPr>
      <w:r>
        <w:t>(c) Transmural, skip lesions anywhere from mouth to anus (fistulae, strictures)</w:t>
      </w:r>
    </w:p>
    <w:p>
      <w:pPr>
        <w:spacing w:after="200" w:line="276" w:lineRule="auto"/>
      </w:pPr>
      <w:r>
        <w:t>(d) No weight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Transmural, skip lesions anywhere from mouth to anus (fistulae, strictures)</w:t>
      </w:r>
    </w:p>
    <w:p>
      <w:pPr>
        <w:spacing w:after="200" w:line="276" w:lineRule="auto"/>
      </w:pPr>
      <w:r>
        <w:t>🧠 Clinical Rationale: Crohn's: skip lesions, transmural, fistulae; UC: continuous superficial colonic inflammation from rectum.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IBD - Crohn's vs UC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Transmural, skip lesions anywhere from mouth to anus (fistulae, strictures)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Continuous rectal-only inflammation — correct in another context, but not for this patient/drug link</w:t>
      </w:r>
    </w:p>
    <w:p>
      <w:pPr>
        <w:spacing w:after="200" w:line="276" w:lineRule="auto"/>
      </w:pPr>
      <w:r>
        <w:t>B. Never fistulising — correct in another context, but not for this patient/drug link</w:t>
      </w:r>
    </w:p>
    <w:p>
      <w:pPr>
        <w:spacing w:after="200" w:line="276" w:lineRule="auto"/>
      </w:pPr>
      <w:r>
        <w:t>D. No weight loss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Fresh blood in an ileostomy output suggests</w:t>
      </w:r>
    </w:p>
    <w:p>
      <w:pPr>
        <w:spacing w:after="200" w:line="276" w:lineRule="auto"/>
      </w:pPr>
      <w:r>
        <w:t>(a) Bleeding from stoma or proximal bowel — assess and report</w:t>
      </w:r>
    </w:p>
    <w:p>
      <w:pPr>
        <w:spacing w:after="200" w:line="276" w:lineRule="auto"/>
      </w:pPr>
      <w:r>
        <w:t>(b) Normal finding</w:t>
      </w:r>
    </w:p>
    <w:p>
      <w:pPr>
        <w:spacing w:after="200" w:line="276" w:lineRule="auto"/>
      </w:pPr>
      <w:r>
        <w:t>(c) Dehydration</w:t>
      </w:r>
    </w:p>
    <w:p>
      <w:pPr>
        <w:spacing w:after="200" w:line="276" w:lineRule="auto"/>
      </w:pPr>
      <w:r>
        <w:t>(d) Enzyme excess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Bleeding from stoma or proximal bowel — assess and report</w:t>
      </w:r>
    </w:p>
    <w:p>
      <w:pPr>
        <w:spacing w:after="200" w:line="276" w:lineRule="auto"/>
      </w:pPr>
      <w:r>
        <w:t>🧠 Clinical Rationale: Bloody output is abnormal; dark output may be old blood; green liquid is expected in ileostomies.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Ostomy - Output Colour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Bleeding from stoma or proximal bowel — assess and report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finding — correct in another context, but not for this patient/drug link</w:t>
      </w:r>
    </w:p>
    <w:p>
      <w:pPr>
        <w:spacing w:after="200" w:line="276" w:lineRule="auto"/>
      </w:pPr>
      <w:r>
        <w:t>C. Dehydration — correct in another context, but not for this patient/drug link</w:t>
      </w:r>
    </w:p>
    <w:p>
      <w:pPr>
        <w:spacing w:after="200" w:line="276" w:lineRule="auto"/>
      </w:pPr>
      <w:r>
        <w:t>D. Enzyme excess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Haematemesis with melaena indicates</w:t>
      </w:r>
    </w:p>
    <w:p>
      <w:pPr>
        <w:spacing w:after="200" w:line="276" w:lineRule="auto"/>
      </w:pPr>
      <w:r>
        <w:t>(a) Upper gastrointestinal bleeding</w:t>
      </w:r>
    </w:p>
    <w:p>
      <w:pPr>
        <w:spacing w:after="200" w:line="276" w:lineRule="auto"/>
      </w:pPr>
      <w:r>
        <w:t>(b) Lower GI bleeding</w:t>
      </w:r>
    </w:p>
    <w:p>
      <w:pPr>
        <w:spacing w:after="200" w:line="276" w:lineRule="auto"/>
      </w:pPr>
      <w:r>
        <w:t>(c) Haemorrhoids</w:t>
      </w:r>
    </w:p>
    <w:p>
      <w:pPr>
        <w:spacing w:after="200" w:line="276" w:lineRule="auto"/>
      </w:pPr>
      <w:r>
        <w:t>(d) Rectal tumour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Upper gastrointestinal bleeding</w:t>
      </w:r>
    </w:p>
    <w:p>
      <w:pPr>
        <w:spacing w:after="200" w:line="276" w:lineRule="auto"/>
      </w:pPr>
      <w:r>
        <w:t>🧠 Clinical Rationale: UGIB → haematemesis/melaena; LGIB → fresh rectal bleeding; stabilise and scope.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GI Bleed - UGIB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Upper gastrointestinal bleeding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Lower GI bleeding — correct in another context, but not for this patient/drug link</w:t>
      </w:r>
    </w:p>
    <w:p>
      <w:pPr>
        <w:spacing w:after="200" w:line="276" w:lineRule="auto"/>
      </w:pPr>
      <w:r>
        <w:t>C. Haemorrhoids — correct in another context, but not for this patient/drug link</w:t>
      </w:r>
    </w:p>
    <w:p>
      <w:pPr>
        <w:spacing w:after="200" w:line="276" w:lineRule="auto"/>
      </w:pPr>
      <w:r>
        <w:t>D. Rectal tumour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