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neutropenic patient should avoid</w:t>
      </w:r>
    </w:p>
    <w:p>
      <w:pPr>
        <w:spacing w:after="200" w:line="276" w:lineRule="auto"/>
      </w:pPr>
      <w:r>
        <w:t>(a) Cooked meals</w:t>
      </w:r>
    </w:p>
    <w:p>
      <w:pPr>
        <w:spacing w:after="200" w:line="276" w:lineRule="auto"/>
      </w:pPr>
      <w:r>
        <w:t>(b) Boiled water</w:t>
      </w:r>
    </w:p>
    <w:p>
      <w:pPr>
        <w:spacing w:after="200" w:line="276" w:lineRule="auto"/>
      </w:pPr>
      <w:r>
        <w:t>(c) Raw fruits, vegetables and undercooked food (infection risk)</w:t>
      </w:r>
    </w:p>
    <w:p>
      <w:pPr>
        <w:spacing w:after="200" w:line="276" w:lineRule="auto"/>
      </w:pPr>
      <w:r>
        <w:t>(d) Packaged biscuits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Raw fruits, vegetables and undercooked food (infection risk)</w:t>
      </w:r>
    </w:p>
    <w:p>
      <w:pPr>
        <w:spacing w:after="200" w:line="276" w:lineRule="auto"/>
      </w:pPr>
      <w:r>
        <w:t>🧠 Clinical Rationale: Low-microbial diet reduces infection; no fresh flowers, avoid crowds, strict hand hygiene.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Neutropenia - Diet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Raw fruits, vegetables and undercooked food (infection risk)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Cooked meals — correct in another context, but not for this patient/drug link</w:t>
      </w:r>
    </w:p>
    <w:p>
      <w:pPr>
        <w:spacing w:after="200" w:line="276" w:lineRule="auto"/>
      </w:pPr>
      <w:r>
        <w:t>B. Boiled water — correct in another context, but not for this patient/drug link</w:t>
      </w:r>
    </w:p>
    <w:p>
      <w:pPr>
        <w:spacing w:after="200" w:line="276" w:lineRule="auto"/>
      </w:pPr>
      <w:r>
        <w:t>D. Packaged biscuits — correct in another context, but not for this patient/drug link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Hand hygiene</w:t>
      </w:r>
    </w:p>
    <w:p>
      <w:pPr>
        <w:spacing w:after="200" w:line="276" w:lineRule="auto"/>
      </w:pPr>
      <w:r>
        <w:t>→ 5 moments: before touching patient, before clean/aseptic procedure, after body-fluid exposure, after touching patient, after touching surroundings</w:t>
      </w:r>
    </w:p>
    <w:p>
      <w:pPr>
        <w:spacing w:after="200" w:line="276" w:lineRule="auto"/>
      </w:pPr>
      <w:r>
        <w:t>→ Alcohol rub: when hands are not visibly soiled</w:t>
      </w:r>
    </w:p>
    <w:p>
      <w:pPr>
        <w:spacing w:after="200" w:line="276" w:lineRule="auto"/>
      </w:pPr>
      <w:r>
        <w:t>→ Soap and water: visibly dirty, C. difficile, norovirus</w:t>
      </w:r>
    </w:p>
    <w:p>
      <w:pPr>
        <w:spacing w:after="200" w:line="276" w:lineRule="auto"/>
      </w:pPr>
      <w:r>
        <w:t>→ Keep nails short; remove rings and jewellery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severe thrombocytopenia (platelets &lt;20,000), the nurse should</w:t>
      </w:r>
    </w:p>
    <w:p>
      <w:pPr>
        <w:spacing w:after="200" w:line="276" w:lineRule="auto"/>
      </w:pPr>
      <w:r>
        <w:t>(a) Give aspirin</w:t>
      </w:r>
    </w:p>
    <w:p>
      <w:pPr>
        <w:spacing w:after="200" w:line="276" w:lineRule="auto"/>
      </w:pPr>
      <w:r>
        <w:t>(b) Encourage contact sports</w:t>
      </w:r>
    </w:p>
    <w:p>
      <w:pPr>
        <w:spacing w:after="200" w:line="276" w:lineRule="auto"/>
      </w:pPr>
      <w:r>
        <w:t>(c) Use soft toothbrush, electric razor, avoid IM injections and falls</w:t>
      </w:r>
    </w:p>
    <w:p>
      <w:pPr>
        <w:spacing w:after="200" w:line="276" w:lineRule="auto"/>
      </w:pPr>
      <w:r>
        <w:t>(d) No precautions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Use soft toothbrush, electric razor, avoid IM injections and falls</w:t>
      </w:r>
    </w:p>
    <w:p>
      <w:pPr>
        <w:spacing w:after="200" w:line="276" w:lineRule="auto"/>
      </w:pPr>
      <w:r>
        <w:t>🧠 Clinical Rationale: Bleeding precautions prevent haemorrhage; platelet transfusion per threshold/bleeding.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Thrombocytopenia - Precautions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Use soft toothbrush, electric razor, avoid IM injections and falls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 aspirin — correct in another context, but not for this patient/drug link</w:t>
      </w:r>
    </w:p>
    <w:p>
      <w:pPr>
        <w:spacing w:after="200" w:line="276" w:lineRule="auto"/>
      </w:pPr>
      <w:r>
        <w:t>B. Encourage contact sports — correct in another context, but not for this patient/drug link</w:t>
      </w:r>
    </w:p>
    <w:p>
      <w:pPr>
        <w:spacing w:after="200" w:line="276" w:lineRule="auto"/>
      </w:pPr>
      <w:r>
        <w:t>D. No precautions — correct in another context, but not for this patient/drug link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Fall prevention</w:t>
      </w:r>
    </w:p>
    <w:p>
      <w:pPr>
        <w:spacing w:after="200" w:line="276" w:lineRule="auto"/>
      </w:pPr>
      <w:r>
        <w:t>→ Assess: fall risk scale (Morse), gait, medications (sedatives/hypotensives)</w:t>
      </w:r>
    </w:p>
    <w:p>
      <w:pPr>
        <w:spacing w:after="200" w:line="276" w:lineRule="auto"/>
      </w:pPr>
      <w:r>
        <w:t>→ Environment: low bed, brakes, side rails as ordered, clear pathways, night light</w:t>
      </w:r>
    </w:p>
    <w:p>
      <w:pPr>
        <w:spacing w:after="200" w:line="276" w:lineRule="auto"/>
      </w:pPr>
      <w:r>
        <w:t>→ Assistance: call bell in reach, non-slip socks, assist to bathroom regularly</w:t>
      </w:r>
    </w:p>
    <w:p>
      <w:pPr>
        <w:spacing w:after="200" w:line="276" w:lineRule="auto"/>
      </w:pPr>
      <w:r>
        <w:t>→ Document and report falls; reassess after any fall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febrile non-haemolytic transfusion reaction is managed by</w:t>
      </w:r>
    </w:p>
    <w:p>
      <w:pPr>
        <w:spacing w:after="200" w:line="276" w:lineRule="auto"/>
      </w:pPr>
      <w:r>
        <w:t>(a) Stopping the transfusion, checking vitals and ruling out haemolysis (then symptomatic care)</w:t>
      </w:r>
    </w:p>
    <w:p>
      <w:pPr>
        <w:spacing w:after="200" w:line="276" w:lineRule="auto"/>
      </w:pPr>
      <w:r>
        <w:t>(b) Continuing slowly</w:t>
      </w:r>
    </w:p>
    <w:p>
      <w:pPr>
        <w:spacing w:after="200" w:line="276" w:lineRule="auto"/>
      </w:pPr>
      <w:r>
        <w:t>(c) Giving more blood</w:t>
      </w:r>
    </w:p>
    <w:p>
      <w:pPr>
        <w:spacing w:after="200" w:line="276" w:lineRule="auto"/>
      </w:pPr>
      <w:r>
        <w:t>(d) Ignoring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Stopping the transfusion, checking vitals and ruling out haemolysis (then symptomatic care)</w:t>
      </w:r>
    </w:p>
    <w:p>
      <w:pPr>
        <w:spacing w:after="200" w:line="276" w:lineRule="auto"/>
      </w:pPr>
      <w:r>
        <w:t>🧠 Clinical Rationale: Stop, assess, document; antipyretics and leukoreduced products prevent recurrence.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Transfusion - Febrile Reaction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Stopping the transfusion, checking vitals and ruling out haemolysis (then symptomatic care)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Continuing slowly — correct in another context, but not for this patient/drug link</w:t>
      </w:r>
    </w:p>
    <w:p>
      <w:pPr>
        <w:spacing w:after="200" w:line="276" w:lineRule="auto"/>
      </w:pPr>
      <w:r>
        <w:t>C. Giving more blood — correct in another context, but not for this patient/drug link</w:t>
      </w:r>
    </w:p>
    <w:p>
      <w:pPr>
        <w:spacing w:after="200" w:line="276" w:lineRule="auto"/>
      </w:pPr>
      <w:r>
        <w:t>D. Ignoring — correct in another context, but not for this patient/drug link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Blood transfusion</w:t>
      </w:r>
    </w:p>
    <w:p>
      <w:pPr>
        <w:spacing w:after="200" w:line="276" w:lineRule="auto"/>
      </w:pPr>
      <w:r>
        <w:t>→ Before: verify patient identity, blood product, vitals, prime with saline only</w:t>
      </w:r>
    </w:p>
    <w:p>
      <w:pPr>
        <w:spacing w:after="200" w:line="276" w:lineRule="auto"/>
      </w:pPr>
      <w:r>
        <w:t>→ First 15 min: slow rate, observe closely (most reactions occur early)</w:t>
      </w:r>
    </w:p>
    <w:p>
      <w:pPr>
        <w:spacing w:after="200" w:line="276" w:lineRule="auto"/>
      </w:pPr>
      <w:r>
        <w:t>→ Reaction: stop transfusion → keep line with NS → notify → return blood + samples to lab</w:t>
      </w:r>
    </w:p>
    <w:p>
      <w:pPr>
        <w:spacing w:after="200" w:line="276" w:lineRule="auto"/>
      </w:pPr>
      <w:r>
        <w:t>→ Types: acute haemolytic, allergic, febrile, circulatory overload (TACO), TRALI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action for an acute haemolytic transfusion reaction is</w:t>
      </w:r>
    </w:p>
    <w:p>
      <w:pPr>
        <w:spacing w:after="200" w:line="276" w:lineRule="auto"/>
      </w:pPr>
      <w:r>
        <w:t>(a) Stop the transfusion, maintain IV line, call for help and monitor urine output</w:t>
      </w:r>
    </w:p>
    <w:p>
      <w:pPr>
        <w:spacing w:after="200" w:line="276" w:lineRule="auto"/>
      </w:pPr>
      <w:r>
        <w:t>(b) Slow the drip</w:t>
      </w:r>
    </w:p>
    <w:p>
      <w:pPr>
        <w:spacing w:after="200" w:line="276" w:lineRule="auto"/>
      </w:pPr>
      <w:r>
        <w:t>(c) Give more blood</w:t>
      </w:r>
    </w:p>
    <w:p>
      <w:pPr>
        <w:spacing w:after="200" w:line="276" w:lineRule="auto"/>
      </w:pPr>
      <w:r>
        <w:t>(d) Wait and see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Stop the transfusion, maintain IV line, call for help and monitor urine output</w:t>
      </w:r>
    </w:p>
    <w:p>
      <w:pPr>
        <w:spacing w:after="200" w:line="276" w:lineRule="auto"/>
      </w:pPr>
      <w:r>
        <w:t>🧠 Clinical Rationale: Stop immediately, reassess patient, send blood/urine for reaction workup; prevent renal failure.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Transfusion - Haemolytic Reaction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Stop the transfusion, maintain IV line, call for help and monitor urine output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Slow the drip — correct in another context, but not for this patient/drug link</w:t>
      </w:r>
    </w:p>
    <w:p>
      <w:pPr>
        <w:spacing w:after="200" w:line="276" w:lineRule="auto"/>
      </w:pPr>
      <w:r>
        <w:t>C. Give more blood — correct in another context, but not for this patient/drug link</w:t>
      </w:r>
    </w:p>
    <w:p>
      <w:pPr>
        <w:spacing w:after="200" w:line="276" w:lineRule="auto"/>
      </w:pPr>
      <w:r>
        <w:t>D. Wait and see — correct in another context, but not for this patient/drug link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Blood transfusion</w:t>
      </w:r>
    </w:p>
    <w:p>
      <w:pPr>
        <w:spacing w:after="200" w:line="276" w:lineRule="auto"/>
      </w:pPr>
      <w:r>
        <w:t>→ Before: verify patient identity, blood product, vitals, prime with saline only</w:t>
      </w:r>
    </w:p>
    <w:p>
      <w:pPr>
        <w:spacing w:after="200" w:line="276" w:lineRule="auto"/>
      </w:pPr>
      <w:r>
        <w:t>→ First 15 min: slow rate, observe closely (most reactions occur early)</w:t>
      </w:r>
    </w:p>
    <w:p>
      <w:pPr>
        <w:spacing w:after="200" w:line="276" w:lineRule="auto"/>
      </w:pPr>
      <w:r>
        <w:t>→ Reaction: stop transfusion → keep line with NS → notify → return blood + samples to lab</w:t>
      </w:r>
    </w:p>
    <w:p>
      <w:pPr>
        <w:spacing w:after="200" w:line="276" w:lineRule="auto"/>
      </w:pPr>
      <w:r>
        <w:t>→ Types: acute haemolytic, allergic, febrile, circulatory overload (TACO), TRALI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Skin care during radiation therapy includes</w:t>
      </w:r>
    </w:p>
    <w:p>
      <w:pPr>
        <w:spacing w:after="200" w:line="276" w:lineRule="auto"/>
      </w:pPr>
      <w:r>
        <w:t>(a) Scrubbing the area</w:t>
      </w:r>
    </w:p>
    <w:p>
      <w:pPr>
        <w:spacing w:after="200" w:line="276" w:lineRule="auto"/>
      </w:pPr>
      <w:r>
        <w:t>(b) Gentle washing, no friction/perfumes, protect from sun and report moist desquamation</w:t>
      </w:r>
    </w:p>
    <w:p>
      <w:pPr>
        <w:spacing w:after="200" w:line="276" w:lineRule="auto"/>
      </w:pPr>
      <w:r>
        <w:t>(c) Applying heat</w:t>
      </w:r>
    </w:p>
    <w:p>
      <w:pPr>
        <w:spacing w:after="200" w:line="276" w:lineRule="auto"/>
      </w:pPr>
      <w:r>
        <w:t>(d) Tight dressings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Gentle washing, no friction/perfumes, protect from sun and report moist desquamation</w:t>
      </w:r>
    </w:p>
    <w:p>
      <w:pPr>
        <w:spacing w:after="200" w:line="276" w:lineRule="auto"/>
      </w:pPr>
      <w:r>
        <w:t>🧠 Clinical Rationale: Radiation dermatitis: mild cleansing, moisturisers, no irritants; monitor for infection.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Radiotherapy - Skin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Gentle washing, no friction/perfumes, protect from sun and report moist desquamation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Scrubbing the area — correct in another context, but not for this patient/drug link</w:t>
      </w:r>
    </w:p>
    <w:p>
      <w:pPr>
        <w:spacing w:after="200" w:line="276" w:lineRule="auto"/>
      </w:pPr>
      <w:r>
        <w:t>C. Applying heat — correct in another context, but not for this patient/drug link</w:t>
      </w:r>
    </w:p>
    <w:p>
      <w:pPr>
        <w:spacing w:after="200" w:line="276" w:lineRule="auto"/>
      </w:pPr>
      <w:r>
        <w:t>D. Tight dressings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WHO analgesic ladder step 1 uses</w:t>
      </w:r>
    </w:p>
    <w:p>
      <w:pPr>
        <w:spacing w:after="200" w:line="276" w:lineRule="auto"/>
      </w:pPr>
      <w:r>
        <w:t>(a) Morphine</w:t>
      </w:r>
    </w:p>
    <w:p>
      <w:pPr>
        <w:spacing w:after="200" w:line="276" w:lineRule="auto"/>
      </w:pPr>
      <w:r>
        <w:t>(b) Non-opioids (paracetamol/NSAIDs) for mild pain</w:t>
      </w:r>
    </w:p>
    <w:p>
      <w:pPr>
        <w:spacing w:after="200" w:line="276" w:lineRule="auto"/>
      </w:pPr>
      <w:r>
        <w:t>(c) Fentanyl patches</w:t>
      </w:r>
    </w:p>
    <w:p>
      <w:pPr>
        <w:spacing w:after="200" w:line="276" w:lineRule="auto"/>
      </w:pPr>
      <w:r>
        <w:t>(d) Sedatives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Non-opioids (paracetamol/NSAIDs) for mild pain</w:t>
      </w:r>
    </w:p>
    <w:p>
      <w:pPr>
        <w:spacing w:after="200" w:line="276" w:lineRule="auto"/>
      </w:pPr>
      <w:r>
        <w:t>🧠 Clinical Rationale: Step 1 non-opioid ± adjuvant; step 2 weak opioid; step 3 strong opioid; adjuvants at all steps.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Palliative - Pain Ladder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Non-opioids (paracetamol/NSAIDs) for mild pain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Morphine — correct in another context, but not for this patient/drug link</w:t>
      </w:r>
    </w:p>
    <w:p>
      <w:pPr>
        <w:spacing w:after="200" w:line="276" w:lineRule="auto"/>
      </w:pPr>
      <w:r>
        <w:t>C. Fentanyl patches — correct in another context, but not for this patient/drug link</w:t>
      </w:r>
    </w:p>
    <w:p>
      <w:pPr>
        <w:spacing w:after="200" w:line="276" w:lineRule="auto"/>
      </w:pPr>
      <w:r>
        <w:t>D. Sedatives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immediate first step for postpartum haemorrhage is</w:t>
      </w:r>
    </w:p>
    <w:p>
      <w:pPr>
        <w:spacing w:after="200" w:line="276" w:lineRule="auto"/>
      </w:pPr>
      <w:r>
        <w:t>(a) Call for help, massage the uterus and give uterotonics (oxytocin)</w:t>
      </w:r>
    </w:p>
    <w:p>
      <w:pPr>
        <w:spacing w:after="200" w:line="276" w:lineRule="auto"/>
      </w:pPr>
      <w:r>
        <w:t>(b) Blood transfusion first</w:t>
      </w:r>
    </w:p>
    <w:p>
      <w:pPr>
        <w:spacing w:after="200" w:line="276" w:lineRule="auto"/>
      </w:pPr>
      <w:r>
        <w:t>(c) Surgery</w:t>
      </w:r>
    </w:p>
    <w:p>
      <w:pPr>
        <w:spacing w:after="200" w:line="276" w:lineRule="auto"/>
      </w:pPr>
      <w:r>
        <w:t>(d) Observation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Call for help, massage the uterus and give uterotonics (oxytocin)</w:t>
      </w:r>
    </w:p>
    <w:p>
      <w:pPr>
        <w:spacing w:after="200" w:line="276" w:lineRule="auto"/>
      </w:pPr>
      <w:r>
        <w:t>🧠 Clinical Rationale: Resuscitate + tone (uterotonics), tissue, trauma, thrombin (4 Ts) approach.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PPH - First Response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Call for help, massage the uterus and give uterotonics (oxytocin)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Blood transfusion first — correct in another context, but not for this patient/drug link</w:t>
      </w:r>
    </w:p>
    <w:p>
      <w:pPr>
        <w:spacing w:after="200" w:line="276" w:lineRule="auto"/>
      </w:pPr>
      <w:r>
        <w:t>C. Surgery — correct in another context, but not for this patient/drug link</w:t>
      </w:r>
    </w:p>
    <w:p>
      <w:pPr>
        <w:spacing w:after="200" w:line="276" w:lineRule="auto"/>
      </w:pPr>
      <w:r>
        <w:t>D. Observation — correct in another context, but not for this patient/drug link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severe feature of pre-eclampsia requiring delivery planning is</w:t>
      </w:r>
    </w:p>
    <w:p>
      <w:pPr>
        <w:spacing w:after="200" w:line="276" w:lineRule="auto"/>
      </w:pPr>
      <w:r>
        <w:t>(a) Mild oedema</w:t>
      </w:r>
    </w:p>
    <w:p>
      <w:pPr>
        <w:spacing w:after="200" w:line="276" w:lineRule="auto"/>
      </w:pPr>
      <w:r>
        <w:t>(b) BP 130/85</w:t>
      </w:r>
    </w:p>
    <w:p>
      <w:pPr>
        <w:spacing w:after="200" w:line="276" w:lineRule="auto"/>
      </w:pPr>
      <w:r>
        <w:t>(c) BP ≥160/110 with symptoms, thrombocytopenia or organ dysfunction</w:t>
      </w:r>
    </w:p>
    <w:p>
      <w:pPr>
        <w:spacing w:after="200" w:line="276" w:lineRule="auto"/>
      </w:pPr>
      <w:r>
        <w:t>(d) Weight gain 1 kg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BP ≥160/110 with symptoms, thrombocytopenia or organ dysfunction</w:t>
      </w:r>
    </w:p>
    <w:p>
      <w:pPr>
        <w:spacing w:after="200" w:line="276" w:lineRule="auto"/>
      </w:pPr>
      <w:r>
        <w:t>🧠 Clinical Rationale: Severe features (CNS, hepatic, renal, haematologic) mandate magnesium sulfate and timely delivery.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Pre-Eclampsia - Severe Feature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BP ≥160/110 with symptoms, thrombocytopenia or organ dysfunction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oedema — correct in another context, but not for this patient/drug link</w:t>
      </w:r>
    </w:p>
    <w:p>
      <w:pPr>
        <w:spacing w:after="200" w:line="276" w:lineRule="auto"/>
      </w:pPr>
      <w:r>
        <w:t>B. BP 130/85 — correct in another context, but not for this patient/drug link</w:t>
      </w:r>
    </w:p>
    <w:p>
      <w:pPr>
        <w:spacing w:after="200" w:line="276" w:lineRule="auto"/>
      </w:pPr>
      <w:r>
        <w:t>D. Weight gain 1 kg — correct in another context, but not for this patient/drug link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Eclampsia</w:t>
      </w:r>
    </w:p>
    <w:p>
      <w:pPr>
        <w:spacing w:after="200" w:line="276" w:lineRule="auto"/>
      </w:pPr>
      <w:r>
        <w:t>→ Care: quiet/dark room, padded side rails, airway ready, side-lying position</w:t>
      </w:r>
    </w:p>
    <w:p>
      <w:pPr>
        <w:spacing w:after="200" w:line="276" w:lineRule="auto"/>
      </w:pPr>
      <w:r>
        <w:t>→ Drug: Magnesium sulfate IV (antidote: calcium gluconate)</w:t>
      </w:r>
    </w:p>
    <w:p>
      <w:pPr>
        <w:spacing w:after="200" w:line="276" w:lineRule="auto"/>
      </w:pPr>
      <w:r>
        <w:t>→ Monitor: DTRs, respiratory rate, urine output (mag toxicity: absent DTRs, RR &lt; 12, oliguria)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magnesium sulfate infusion, the nurse monitors</w:t>
      </w:r>
    </w:p>
    <w:p>
      <w:pPr>
        <w:spacing w:after="200" w:line="276" w:lineRule="auto"/>
      </w:pPr>
      <w:r>
        <w:t>(a) Only BP</w:t>
      </w:r>
    </w:p>
    <w:p>
      <w:pPr>
        <w:spacing w:after="200" w:line="276" w:lineRule="auto"/>
      </w:pPr>
      <w:r>
        <w:t>(b) Respiratory rate, deep tendon reflexes and urine output</w:t>
      </w:r>
    </w:p>
    <w:p>
      <w:pPr>
        <w:spacing w:after="200" w:line="276" w:lineRule="auto"/>
      </w:pPr>
      <w:r>
        <w:t>(c) Blood sugar</w:t>
      </w:r>
    </w:p>
    <w:p>
      <w:pPr>
        <w:spacing w:after="200" w:line="276" w:lineRule="auto"/>
      </w:pPr>
      <w:r>
        <w:t>(d) Temperature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Respiratory rate, deep tendon reflexes and urine output</w:t>
      </w:r>
    </w:p>
    <w:p>
      <w:pPr>
        <w:spacing w:after="200" w:line="276" w:lineRule="auto"/>
      </w:pPr>
      <w:r>
        <w:t>🧠 Clinical Rationale: Magnesium toxicity: loss of reflexes → respiratory depression; antidote IV calcium gluconate.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Eclampsia - Magnesium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Respiratory rate, deep tendon reflexes and urine output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BP — correct in another context, but not for this patient/drug link</w:t>
      </w:r>
    </w:p>
    <w:p>
      <w:pPr>
        <w:spacing w:after="200" w:line="276" w:lineRule="auto"/>
      </w:pPr>
      <w:r>
        <w:t>C. Blood sugar — correct in another context, but not for this patient/drug link</w:t>
      </w:r>
    </w:p>
    <w:p>
      <w:pPr>
        <w:spacing w:after="200" w:line="276" w:lineRule="auto"/>
      </w:pPr>
      <w:r>
        <w:t>D. Temperature — correct in another context, but not for this patient/drug link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Eclampsia</w:t>
      </w:r>
    </w:p>
    <w:p>
      <w:pPr>
        <w:spacing w:after="200" w:line="276" w:lineRule="auto"/>
      </w:pPr>
      <w:r>
        <w:t>→ Care: quiet/dark room, padded side rails, airway ready, side-lying position</w:t>
      </w:r>
    </w:p>
    <w:p>
      <w:pPr>
        <w:spacing w:after="200" w:line="276" w:lineRule="auto"/>
      </w:pPr>
      <w:r>
        <w:t>→ Drug: Magnesium sulfate IV (antidote: calcium gluconate)</w:t>
      </w:r>
    </w:p>
    <w:p>
      <w:pPr>
        <w:spacing w:after="200" w:line="276" w:lineRule="auto"/>
      </w:pPr>
      <w:r>
        <w:t>→ Monitor: DTRs, respiratory rate, urine output (mag toxicity: absent DTRs, RR &lt; 12, oliguria)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Placenta praevia classically presents with</w:t>
      </w:r>
    </w:p>
    <w:p>
      <w:pPr>
        <w:spacing w:after="200" w:line="276" w:lineRule="auto"/>
      </w:pPr>
      <w:r>
        <w:t>(a) Painful bleeding</w:t>
      </w:r>
    </w:p>
    <w:p>
      <w:pPr>
        <w:spacing w:after="200" w:line="276" w:lineRule="auto"/>
      </w:pPr>
      <w:r>
        <w:t>(b) Fever</w:t>
      </w:r>
    </w:p>
    <w:p>
      <w:pPr>
        <w:spacing w:after="200" w:line="276" w:lineRule="auto"/>
      </w:pPr>
      <w:r>
        <w:t>(c) Leakage of fluid</w:t>
      </w:r>
    </w:p>
    <w:p>
      <w:pPr>
        <w:spacing w:after="200" w:line="276" w:lineRule="auto"/>
      </w:pPr>
      <w:r>
        <w:t>(d) Painless bright-red vaginal bleeding in late pregnancy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Painless bright-red vaginal bleeding in late pregnancy</w:t>
      </w:r>
    </w:p>
    <w:p>
      <w:pPr>
        <w:spacing w:after="200" w:line="276" w:lineRule="auto"/>
      </w:pPr>
      <w:r>
        <w:t>🧠 Clinical Rationale: Painless bleeding — NO vaginal examination; confirm by ultrasound, plan delivery.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Placenta Praevia - Presentation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Painless bright-red vaginal bleeding in late pregnancy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Painful bleeding — correct in another context, but not for this patient/drug link</w:t>
      </w:r>
    </w:p>
    <w:p>
      <w:pPr>
        <w:spacing w:after="200" w:line="276" w:lineRule="auto"/>
      </w:pPr>
      <w:r>
        <w:t>B. Fever — correct in another context, but not for this patient/drug link</w:t>
      </w:r>
    </w:p>
    <w:p>
      <w:pPr>
        <w:spacing w:after="200" w:line="276" w:lineRule="auto"/>
      </w:pPr>
      <w:r>
        <w:t>C. Leakage of fluid — correct in another context, but not for this patient/drug link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Abruptio placentae presents with</w:t>
      </w:r>
    </w:p>
    <w:p>
      <w:pPr>
        <w:spacing w:after="200" w:line="276" w:lineRule="auto"/>
      </w:pPr>
      <w:r>
        <w:t>(a) Painless bleeding</w:t>
      </w:r>
    </w:p>
    <w:p>
      <w:pPr>
        <w:spacing w:after="200" w:line="276" w:lineRule="auto"/>
      </w:pPr>
      <w:r>
        <w:t>(b) No pain</w:t>
      </w:r>
    </w:p>
    <w:p>
      <w:pPr>
        <w:spacing w:after="200" w:line="276" w:lineRule="auto"/>
      </w:pPr>
      <w:r>
        <w:t>(c) Painful bleeding, uterine rigidity and fetal distress</w:t>
      </w:r>
    </w:p>
    <w:p>
      <w:pPr>
        <w:spacing w:after="200" w:line="276" w:lineRule="auto"/>
      </w:pPr>
      <w:r>
        <w:t>(d) Hydramnios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Painful bleeding, uterine rigidity and fetal distress</w:t>
      </w:r>
    </w:p>
    <w:p>
      <w:pPr>
        <w:spacing w:after="200" w:line="276" w:lineRule="auto"/>
      </w:pPr>
      <w:r>
        <w:t>🧠 Clinical Rationale: Concealed haemorrhage may show little external bleeding but hard 'woody' uterus — emergency delivery.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Abruptio Placentae - Sign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Painful bleeding, uterine rigidity and fetal distress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Painless bleeding — correct in another context, but not for this patient/drug link</w:t>
      </w:r>
    </w:p>
    <w:p>
      <w:pPr>
        <w:spacing w:after="200" w:line="276" w:lineRule="auto"/>
      </w:pPr>
      <w:r>
        <w:t>B. No pain — correct in another context, but not for this patient/drug link</w:t>
      </w:r>
    </w:p>
    <w:p>
      <w:pPr>
        <w:spacing w:after="200" w:line="276" w:lineRule="auto"/>
      </w:pPr>
      <w:r>
        <w:t>D. Hydramnios — correct in another context, but not for this patient/drug link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Fetal monitoring</w:t>
      </w:r>
    </w:p>
    <w:p>
      <w:pPr>
        <w:spacing w:after="200" w:line="276" w:lineRule="auto"/>
      </w:pPr>
      <w:r>
        <w:t>→ Baseline FHR: 110–160 bpm</w:t>
      </w:r>
    </w:p>
    <w:p>
      <w:pPr>
        <w:spacing w:after="200" w:line="276" w:lineRule="auto"/>
      </w:pPr>
      <w:r>
        <w:t>→ Late decelerations: after contraction → uteroplacental insufficiency → left side, oxygen, notify</w:t>
      </w:r>
    </w:p>
    <w:p>
      <w:pPr>
        <w:spacing w:after="200" w:line="276" w:lineRule="auto"/>
      </w:pPr>
      <w:r>
        <w:t>→ Variable decelerations: cord compression → change position</w:t>
      </w:r>
    </w:p>
    <w:p>
      <w:pPr>
        <w:spacing w:after="200" w:line="276" w:lineRule="auto"/>
      </w:pPr>
      <w:r>
        <w:t>→ Early decelerations: head compression — benign</w:t>
      </w:r>
    </w:p>
    <w:p>
      <w:pPr>
        <w:spacing w:after="200" w:line="276" w:lineRule="auto"/>
      </w:pPr>
      <w:r>
        <w:t>→ NST: reactive = ≥ 2 accelerations in 20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By day 10 postpartum, the uterus is expected to</w:t>
      </w:r>
    </w:p>
    <w:p>
      <w:pPr>
        <w:spacing w:after="200" w:line="276" w:lineRule="auto"/>
      </w:pPr>
      <w:r>
        <w:t>(a) Be at the umbilicus</w:t>
      </w:r>
    </w:p>
    <w:p>
      <w:pPr>
        <w:spacing w:after="200" w:line="276" w:lineRule="auto"/>
      </w:pPr>
      <w:r>
        <w:t>(b) Enlarge further</w:t>
      </w:r>
    </w:p>
    <w:p>
      <w:pPr>
        <w:spacing w:after="200" w:line="276" w:lineRule="auto"/>
      </w:pPr>
      <w:r>
        <w:t>(c) Remain at fundus</w:t>
      </w:r>
    </w:p>
    <w:p>
      <w:pPr>
        <w:spacing w:after="200" w:line="276" w:lineRule="auto"/>
      </w:pPr>
      <w:r>
        <w:t>(d) Return to a pelvic (non-palpable abdominally) position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Return to a pelvic (non-palpable abdominally) position</w:t>
      </w:r>
    </w:p>
    <w:p>
      <w:pPr>
        <w:spacing w:after="200" w:line="276" w:lineRule="auto"/>
      </w:pPr>
      <w:r>
        <w:t>🧠 Clinical Rationale: Fundus descends ~1 cm/day; non-involution suggests retained products or infection.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Postnatal - Uterine Involution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Return to a pelvic (non-palpable abdominally) position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 at the umbilicus — correct in another context, but not for this patient/drug link</w:t>
      </w:r>
    </w:p>
    <w:p>
      <w:pPr>
        <w:spacing w:after="200" w:line="276" w:lineRule="auto"/>
      </w:pPr>
      <w:r>
        <w:t>B. Enlarge further — correct in another context, but not for this patient/drug link</w:t>
      </w:r>
    </w:p>
    <w:p>
      <w:pPr>
        <w:spacing w:after="200" w:line="276" w:lineRule="auto"/>
      </w:pPr>
      <w:r>
        <w:t>C. Remain at fundus — correct in another context, but not for this patient/drug link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dehydration in a child shows</w:t>
      </w:r>
    </w:p>
    <w:p>
      <w:pPr>
        <w:spacing w:after="200" w:line="276" w:lineRule="auto"/>
      </w:pPr>
      <w:r>
        <w:t>(a) Sunken eyes, very slow skin turgor, lethargy and no tears</w:t>
      </w:r>
    </w:p>
    <w:p>
      <w:pPr>
        <w:spacing w:after="200" w:line="276" w:lineRule="auto"/>
      </w:pPr>
      <w:r>
        <w:t>(b) Brisk turgor</w:t>
      </w:r>
    </w:p>
    <w:p>
      <w:pPr>
        <w:spacing w:after="200" w:line="276" w:lineRule="auto"/>
      </w:pPr>
      <w:r>
        <w:t>(c) Normal urine</w:t>
      </w:r>
    </w:p>
    <w:p>
      <w:pPr>
        <w:spacing w:after="200" w:line="276" w:lineRule="auto"/>
      </w:pPr>
      <w:r>
        <w:t>(d) Playful behaviour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Sunken eyes, very slow skin turgor, lethargy and no tears</w:t>
      </w:r>
    </w:p>
    <w:p>
      <w:pPr>
        <w:spacing w:after="200" w:line="276" w:lineRule="auto"/>
      </w:pPr>
      <w:r>
        <w:t>🧠 Clinical Rationale: Use WHO dehydration scale; severe = IV Ringer lactate 100 mL/kg over 3-6 h.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Dehydration — fluid deficit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Paediatric - Dehydration Assessment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Sunken eyes, very slow skin turgor, lethargy and no tears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Brisk turgor — correct in another context, but not for this patient/drug link</w:t>
      </w:r>
    </w:p>
    <w:p>
      <w:pPr>
        <w:spacing w:after="200" w:line="276" w:lineRule="auto"/>
      </w:pPr>
      <w:r>
        <w:t>C. Normal urine — correct in another context, but not for this patient/drug link</w:t>
      </w:r>
    </w:p>
    <w:p>
      <w:pPr>
        <w:spacing w:after="200" w:line="276" w:lineRule="auto"/>
      </w:pPr>
      <w:r>
        <w:t>D. Playful behaviour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management of acute bronchiolitis is</w:t>
      </w:r>
    </w:p>
    <w:p>
      <w:pPr>
        <w:spacing w:after="200" w:line="276" w:lineRule="auto"/>
      </w:pPr>
      <w:r>
        <w:t>(a) IV antibiotics always</w:t>
      </w:r>
    </w:p>
    <w:p>
      <w:pPr>
        <w:spacing w:after="200" w:line="276" w:lineRule="auto"/>
      </w:pPr>
      <w:r>
        <w:t>(b) Supportive care: suction, hydration, oxygen as needed (no routine bronchodilators/steroids)</w:t>
      </w:r>
    </w:p>
    <w:p>
      <w:pPr>
        <w:spacing w:after="200" w:line="276" w:lineRule="auto"/>
      </w:pPr>
      <w:r>
        <w:t>(c) Nebulised adrenaline routinely</w:t>
      </w:r>
    </w:p>
    <w:p>
      <w:pPr>
        <w:spacing w:after="200" w:line="276" w:lineRule="auto"/>
      </w:pPr>
      <w:r>
        <w:t>(d) Chest X-ray routinely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Supportive care: suction, hydration, oxygen as needed (no routine bronchodilators/steroids)</w:t>
      </w:r>
    </w:p>
    <w:p>
      <w:pPr>
        <w:spacing w:after="200" w:line="276" w:lineRule="auto"/>
      </w:pPr>
      <w:r>
        <w:t>🧠 Clinical Rationale: RSV bronchiolitis is self-limiting — supportive care; palivizumab prophylaxis for high-risk infants.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Bronchiolitis -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Supportive care: suction, hydration, oxygen as needed (no routine bronchodilators/steroids)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IV antibiotics always — correct in another context, but not for this patient/drug link</w:t>
      </w:r>
    </w:p>
    <w:p>
      <w:pPr>
        <w:spacing w:after="200" w:line="276" w:lineRule="auto"/>
      </w:pPr>
      <w:r>
        <w:t>C. Nebulised adrenaline routinely — correct in another context, but not for this patient/drug link</w:t>
      </w:r>
    </w:p>
    <w:p>
      <w:pPr>
        <w:spacing w:after="200" w:line="276" w:lineRule="auto"/>
      </w:pPr>
      <w:r>
        <w:t>D. Chest X-ray routinely — correct in another context, but not for this patient/drug link</w:t>
      </w:r>
    </w:p>
    <w:p>
      <w:pPr>
        <w:spacing w:after="200" w:line="276" w:lineRule="auto"/>
      </w:pPr>
      <w:r>
        <w:t>⚠️ Exam Trap: Bronchiolitis is viral (RSV) — antibiotics and bronchodilators are not routine; suction + oxygen + fluids are the mainstay.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Bronchiolitis (RSV): supportive care — humidified oxygen, nasal suction and positioning; antibiotics are NOT indicated.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Bronchiolitis</w:t>
      </w:r>
    </w:p>
    <w:p>
      <w:pPr>
        <w:spacing w:after="200" w:line="276" w:lineRule="auto"/>
      </w:pPr>
      <w:r>
        <w:t>→ Cause: RSV; peak in infants &lt; 12 months</w:t>
      </w:r>
    </w:p>
    <w:p>
      <w:pPr>
        <w:spacing w:after="200" w:line="276" w:lineRule="auto"/>
      </w:pPr>
      <w:r>
        <w:t>→ Clues: coryza → cough, wheeze, respiratory distress, poor feeding</w:t>
      </w:r>
    </w:p>
    <w:p>
      <w:pPr>
        <w:spacing w:after="200" w:line="276" w:lineRule="auto"/>
      </w:pPr>
      <w:r>
        <w:t>→ Care: nasal suction, humidified O2, fluids, head-up position, observe for apnoea</w:t>
      </w:r>
    </w:p>
    <w:p>
      <w:pPr>
        <w:spacing w:after="200" w:line="276" w:lineRule="auto"/>
      </w:pPr>
      <w:r>
        <w:t>→ Prevention: hand hygiene, avoid smoke, palivizumab for high-risk infants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barking cough and inspiratory stridor at rest needs</w:t>
      </w:r>
    </w:p>
    <w:p>
      <w:pPr>
        <w:spacing w:after="200" w:line="276" w:lineRule="auto"/>
      </w:pPr>
      <w:r>
        <w:t>(a) Immediate intubation</w:t>
      </w:r>
    </w:p>
    <w:p>
      <w:pPr>
        <w:spacing w:after="200" w:line="276" w:lineRule="auto"/>
      </w:pPr>
      <w:r>
        <w:t>(b) Antibiotics</w:t>
      </w:r>
    </w:p>
    <w:p>
      <w:pPr>
        <w:spacing w:after="200" w:line="276" w:lineRule="auto"/>
      </w:pPr>
      <w:r>
        <w:t>(c) Observation only</w:t>
      </w:r>
    </w:p>
    <w:p>
      <w:pPr>
        <w:spacing w:after="200" w:line="276" w:lineRule="auto"/>
      </w:pPr>
      <w:r>
        <w:t>(d) Single-dose dexamethasone (± nebulised adrenaline if moderate-severe)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Single-dose dexamethasone (± nebulised adrenaline if moderate-severe)</w:t>
      </w:r>
    </w:p>
    <w:p>
      <w:pPr>
        <w:spacing w:after="200" w:line="276" w:lineRule="auto"/>
      </w:pPr>
      <w:r>
        <w:t>🧠 Clinical Rationale: Croup: steroids for all; adrenaline for moderate-severe; watch for increasing respiratory distress.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Stridor — upper airway obstruction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Croup - Stridor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Single-dose dexamethasone (± nebulised adrenaline if moderate-severe)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 intubation — correct in another context, but not for this patient/drug link</w:t>
      </w:r>
    </w:p>
    <w:p>
      <w:pPr>
        <w:spacing w:after="200" w:line="276" w:lineRule="auto"/>
      </w:pPr>
      <w:r>
        <w:t>B. Antibiotics — correct in another context, but not for this patient/drug link</w:t>
      </w:r>
    </w:p>
    <w:p>
      <w:pPr>
        <w:spacing w:after="200" w:line="276" w:lineRule="auto"/>
      </w:pPr>
      <w:r>
        <w:t>C. Observation only — correct in another context, but not for this patient/drug link</w:t>
      </w:r>
    </w:p>
    <w:p>
      <w:pPr>
        <w:spacing w:after="200" w:line="276" w:lineRule="auto"/>
      </w:pPr>
      <w:r>
        <w:t>⚠️ Exam Trap: Steroid withdrawal must be tapered; long-term use causes hyperglycaemia, osteoporosis, infection risk and poor wound healing.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Glucocorticoids: taper on withdrawal, monitor glucose/BP/infection — never stop abruptly (adrenal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Corticosteroids</w:t>
      </w:r>
    </w:p>
    <w:p>
      <w:pPr>
        <w:spacing w:after="200" w:line="276" w:lineRule="auto"/>
      </w:pPr>
      <w:r>
        <w:t>→ Examples: prednisolone, dexamethasone, hydrocortisone</w:t>
      </w:r>
    </w:p>
    <w:p>
      <w:pPr>
        <w:spacing w:after="200" w:line="276" w:lineRule="auto"/>
      </w:pPr>
      <w:r>
        <w:t>→ Adverse: hyperglycaemia, fluid retention, osteoporosis, infection, poor healing</w:t>
      </w:r>
    </w:p>
    <w:p>
      <w:pPr>
        <w:spacing w:after="200" w:line="276" w:lineRule="auto"/>
      </w:pPr>
      <w:r>
        <w:t>→ Never stop abruptly — taper to avoid adrenal crisis</w:t>
      </w:r>
    </w:p>
    <w:p>
      <w:pPr>
        <w:spacing w:after="200" w:line="276" w:lineRule="auto"/>
      </w:pPr>
      <w:r>
        <w:t>→ Give with food; monitor glucose, BP, weight,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simple febrile seizure is characterised by</w:t>
      </w:r>
    </w:p>
    <w:p>
      <w:pPr>
        <w:spacing w:after="200" w:line="276" w:lineRule="auto"/>
      </w:pPr>
      <w:r>
        <w:t>(a) Focal features</w:t>
      </w:r>
    </w:p>
    <w:p>
      <w:pPr>
        <w:spacing w:after="200" w:line="276" w:lineRule="auto"/>
      </w:pPr>
      <w:r>
        <w:t>(b) Prolonged &gt;30 min</w:t>
      </w:r>
    </w:p>
    <w:p>
      <w:pPr>
        <w:spacing w:after="200" w:line="276" w:lineRule="auto"/>
      </w:pPr>
      <w:r>
        <w:t>(c) Recurrent within 24 h</w:t>
      </w:r>
    </w:p>
    <w:p>
      <w:pPr>
        <w:spacing w:after="200" w:line="276" w:lineRule="auto"/>
      </w:pPr>
      <w:r>
        <w:t>(d) Generalised, &lt;15 min, once in 24 h, in a child 6 months-5 years with normal neuro exam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Generalised, &lt;15 min, once in 24 h, in a child 6 months-5 years with normal neuro exam</w:t>
      </w:r>
    </w:p>
    <w:p>
      <w:pPr>
        <w:spacing w:after="200" w:line="276" w:lineRule="auto"/>
      </w:pPr>
      <w:r>
        <w:t>🧠 Clinical Rationale: Simple febrile seizures need reassurance and fever control; complex features warrant workup.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Seizure — neuronal hyper-excitability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Febrile Seizure - Simple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Generalised, &lt;15 min, once in 24 h, in a child 6 months-5 years with normal neuro exam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Focal features — correct in another context, but not for this patient/drug link</w:t>
      </w:r>
    </w:p>
    <w:p>
      <w:pPr>
        <w:spacing w:after="200" w:line="276" w:lineRule="auto"/>
      </w:pPr>
      <w:r>
        <w:t>B. Prolonged &gt;30 min — correct in another context, but not for this patient/drug link</w:t>
      </w:r>
    </w:p>
    <w:p>
      <w:pPr>
        <w:spacing w:after="200" w:line="276" w:lineRule="auto"/>
      </w:pPr>
      <w:r>
        <w:t>C. Recurrent within 24 h — correct in another context, but not for this patient/drug link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serious complication of Kawasaki disease is</w:t>
      </w:r>
    </w:p>
    <w:p>
      <w:pPr>
        <w:spacing w:after="200" w:line="276" w:lineRule="auto"/>
      </w:pPr>
      <w:r>
        <w:t>(a) Hepatitis</w:t>
      </w:r>
    </w:p>
    <w:p>
      <w:pPr>
        <w:spacing w:after="200" w:line="276" w:lineRule="auto"/>
      </w:pPr>
      <w:r>
        <w:t>(b) Coronary artery aneurysms</w:t>
      </w:r>
    </w:p>
    <w:p>
      <w:pPr>
        <w:spacing w:after="200" w:line="276" w:lineRule="auto"/>
      </w:pPr>
      <w:r>
        <w:t>(c) Nephritis</w:t>
      </w:r>
    </w:p>
    <w:p>
      <w:pPr>
        <w:spacing w:after="200" w:line="276" w:lineRule="auto"/>
      </w:pPr>
      <w:r>
        <w:t>(d) Arthritis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Coronary artery aneurysms</w:t>
      </w:r>
    </w:p>
    <w:p>
      <w:pPr>
        <w:spacing w:after="200" w:line="276" w:lineRule="auto"/>
      </w:pPr>
      <w:r>
        <w:t>🧠 Clinical Rationale: Treat with IVIG + aspirin within 10 days to reduce coronary aneurysm risk; echo follow-up.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Kawasaki - Complication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Coronary artery aneurysms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Hepatitis — correct in another context, but not for this patient/drug link</w:t>
      </w:r>
    </w:p>
    <w:p>
      <w:pPr>
        <w:spacing w:after="200" w:line="276" w:lineRule="auto"/>
      </w:pPr>
      <w:r>
        <w:t>C. Nephritis — correct in another context, but not for this patient/drug link</w:t>
      </w:r>
    </w:p>
    <w:p>
      <w:pPr>
        <w:spacing w:after="200" w:line="276" w:lineRule="auto"/>
      </w:pPr>
      <w:r>
        <w:t>D. Arthritis — correct in another context, but not for this patient/drug link</w:t>
      </w:r>
    </w:p>
    <w:p>
      <w:pPr>
        <w:spacing w:after="200" w:line="276" w:lineRule="auto"/>
      </w:pPr>
      <w:r>
        <w:t>⚠️ Exam Trap: Aspirin in children = Reye syndrome risk — use paracetamol instead; in adults, GI bleeding is the main adverse effect.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Aspirin: antiplatelet in ACS (chewed, 300 mg), but NEVER for fever in children (Reye syndrome) and can cause GI bleeding.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Aspirin</w:t>
      </w:r>
    </w:p>
    <w:p>
      <w:pPr>
        <w:spacing w:after="200" w:line="276" w:lineRule="auto"/>
      </w:pPr>
      <w:r>
        <w:t>→ Uses: ACS (300 mg chewed), antiplatelet, fever/pain (adults)</w:t>
      </w:r>
    </w:p>
    <w:p>
      <w:pPr>
        <w:spacing w:after="200" w:line="276" w:lineRule="auto"/>
      </w:pPr>
      <w:r>
        <w:t>→ Adverse: GI bleeding, tinnitus (toxicity), Reye syndrome in children</w:t>
      </w:r>
    </w:p>
    <w:p>
      <w:pPr>
        <w:spacing w:after="200" w:line="276" w:lineRule="auto"/>
      </w:pPr>
      <w:r>
        <w:t>→ Avoid: peptic ulcer, bleeding disorders, children with viral illness</w:t>
      </w:r>
    </w:p>
    <w:p>
      <w:pPr>
        <w:spacing w:after="200" w:line="276" w:lineRule="auto"/>
      </w:pPr>
      <w:r>
        <w:t>→ Give with food to reduce GI irritation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key intervention to prevent neonatal hypothermia is</w:t>
      </w:r>
    </w:p>
    <w:p>
      <w:pPr>
        <w:spacing w:after="200" w:line="276" w:lineRule="auto"/>
      </w:pPr>
      <w:r>
        <w:t>(a) Bathing early</w:t>
      </w:r>
    </w:p>
    <w:p>
      <w:pPr>
        <w:spacing w:after="200" w:line="276" w:lineRule="auto"/>
      </w:pPr>
      <w:r>
        <w:t>(b) Cold delivery room</w:t>
      </w:r>
    </w:p>
    <w:p>
      <w:pPr>
        <w:spacing w:after="200" w:line="276" w:lineRule="auto"/>
      </w:pPr>
      <w:r>
        <w:t>(c) No covering</w:t>
      </w:r>
    </w:p>
    <w:p>
      <w:pPr>
        <w:spacing w:after="200" w:line="276" w:lineRule="auto"/>
      </w:pPr>
      <w:r>
        <w:t>(d) Skin-to-skin (kangaroo) care and warm chain immediately after birth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Skin-to-skin (kangaroo) care and warm chain immediately after birth</w:t>
      </w:r>
    </w:p>
    <w:p>
      <w:pPr>
        <w:spacing w:after="200" w:line="276" w:lineRule="auto"/>
      </w:pPr>
      <w:r>
        <w:t>🧠 Clinical Rationale: Kangaroo care, warm room, immediate drying and covering maintain temperature.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Neonate - Hypothermia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Skin-to-skin (kangaroo) care and warm chain immediately after birth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Bathing early — correct in another context, but not for this patient/drug link</w:t>
      </w:r>
    </w:p>
    <w:p>
      <w:pPr>
        <w:spacing w:after="200" w:line="276" w:lineRule="auto"/>
      </w:pPr>
      <w:r>
        <w:t>B. Cold delivery room — correct in another context, but not for this patient/drug link</w:t>
      </w:r>
    </w:p>
    <w:p>
      <w:pPr>
        <w:spacing w:after="200" w:line="276" w:lineRule="auto"/>
      </w:pPr>
      <w:r>
        <w:t>C. No covering — correct in another context, but not for this patient/drug link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Under the UIP, BCG is given</w:t>
      </w:r>
    </w:p>
    <w:p>
      <w:pPr>
        <w:spacing w:after="200" w:line="276" w:lineRule="auto"/>
      </w:pPr>
      <w:r>
        <w:t>(a) At birth (up to 1 year if missed)</w:t>
      </w:r>
    </w:p>
    <w:p>
      <w:pPr>
        <w:spacing w:after="200" w:line="276" w:lineRule="auto"/>
      </w:pPr>
      <w:r>
        <w:t>(b) At 6 weeks</w:t>
      </w:r>
    </w:p>
    <w:p>
      <w:pPr>
        <w:spacing w:after="200" w:line="276" w:lineRule="auto"/>
      </w:pPr>
      <w:r>
        <w:t>(c) At 9 months</w:t>
      </w:r>
    </w:p>
    <w:p>
      <w:pPr>
        <w:spacing w:after="200" w:line="276" w:lineRule="auto"/>
      </w:pPr>
      <w:r>
        <w:t>(d) At 2 years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At birth (up to 1 year if missed)</w:t>
      </w:r>
    </w:p>
    <w:p>
      <w:pPr>
        <w:spacing w:after="200" w:line="276" w:lineRule="auto"/>
      </w:pPr>
      <w:r>
        <w:t>🧠 Clinical Rationale: BCG at birth; OPV0/HepB0 at birth; pentavalent/OPV/rotavirus at 6, 10, 14 weeks; measles at 9-12 months.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Universal Immunisation - BCG Timing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At birth (up to 1 year if missed)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At 6 weeks — correct in another context, but not for this patient/drug link</w:t>
      </w:r>
    </w:p>
    <w:p>
      <w:pPr>
        <w:spacing w:after="200" w:line="276" w:lineRule="auto"/>
      </w:pPr>
      <w:r>
        <w:t>C. At 9 months — correct in another context, but not for this patient/drug link</w:t>
      </w:r>
    </w:p>
    <w:p>
      <w:pPr>
        <w:spacing w:after="200" w:line="276" w:lineRule="auto"/>
      </w:pPr>
      <w:r>
        <w:t>D. At 2 years — correct in another context, but not for this patient/drug link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Auxiliary Nurse Midwife (ANM) provides</w:t>
      </w:r>
    </w:p>
    <w:p>
      <w:pPr>
        <w:spacing w:after="200" w:line="276" w:lineRule="auto"/>
      </w:pPr>
      <w:r>
        <w:t>(a) Specialist surgery</w:t>
      </w:r>
    </w:p>
    <w:p>
      <w:pPr>
        <w:spacing w:after="200" w:line="276" w:lineRule="auto"/>
      </w:pPr>
      <w:r>
        <w:t>(b) Hospital ICU care</w:t>
      </w:r>
    </w:p>
    <w:p>
      <w:pPr>
        <w:spacing w:after="200" w:line="276" w:lineRule="auto"/>
      </w:pPr>
      <w:r>
        <w:t>(c) First-level maternal, child health and family planning services at sub-centre level</w:t>
      </w:r>
    </w:p>
    <w:p>
      <w:pPr>
        <w:spacing w:after="200" w:line="276" w:lineRule="auto"/>
      </w:pPr>
      <w:r>
        <w:t>(d) Referral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First-level maternal, child health and family planning services at sub-centre level</w:t>
      </w:r>
    </w:p>
    <w:p>
      <w:pPr>
        <w:spacing w:after="200" w:line="276" w:lineRule="auto"/>
      </w:pPr>
      <w:r>
        <w:t>🧠 Clinical Rationale: ANM runs sub-centres: immunisation, ANC/PNC, FP, minor treatment, records.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ANM - Role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First-level maternal, child health and family planning services at sub-centre level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Specialist surgery — correct in another context, but not for this patient/drug link</w:t>
      </w:r>
    </w:p>
    <w:p>
      <w:pPr>
        <w:spacing w:after="200" w:line="276" w:lineRule="auto"/>
      </w:pPr>
      <w:r>
        <w:t>B. Hospital ICU care — correct in another context, but not for this patient/drug link</w:t>
      </w:r>
    </w:p>
    <w:p>
      <w:pPr>
        <w:spacing w:after="200" w:line="276" w:lineRule="auto"/>
      </w:pPr>
      <w:r>
        <w:t>D. Referral only — correct in another context, but not for this patient/drug link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Contraception</w:t>
      </w:r>
    </w:p>
    <w:p>
      <w:pPr>
        <w:spacing w:after="200" w:line="276" w:lineRule="auto"/>
      </w:pPr>
      <w:r>
        <w:t>→ Combined pills: oestrogen+progestin — avoid during early lactation</w:t>
      </w:r>
    </w:p>
    <w:p>
      <w:pPr>
        <w:spacing w:after="200" w:line="276" w:lineRule="auto"/>
      </w:pPr>
      <w:r>
        <w:t>→ Progestin-only (mini-pill, DMPA, implant): safe in breastfeeding</w:t>
      </w:r>
    </w:p>
    <w:p>
      <w:pPr>
        <w:spacing w:after="200" w:line="276" w:lineRule="auto"/>
      </w:pPr>
      <w:r>
        <w:t>→ IUCD (copper/hormonal): long-acting, reversible</w:t>
      </w:r>
    </w:p>
    <w:p>
      <w:pPr>
        <w:spacing w:after="200" w:line="276" w:lineRule="auto"/>
      </w:pPr>
      <w:r>
        <w:t>→ Barrier + lactational amenorrhoea method: non-hormonal options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