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First-line treatment for OCD is</w:t>
      </w:r>
    </w:p>
    <w:p>
      <w:pPr>
        <w:spacing w:after="200" w:line="276" w:lineRule="auto"/>
      </w:pPr>
      <w:r>
        <w:t>(a) SSRIs at higher doses with CBT (exposure and response prevention)</w:t>
      </w:r>
    </w:p>
    <w:p>
      <w:pPr>
        <w:spacing w:after="200" w:line="276" w:lineRule="auto"/>
      </w:pPr>
      <w:r>
        <w:t>(b) Benzodiazepines</w:t>
      </w:r>
    </w:p>
    <w:p>
      <w:pPr>
        <w:spacing w:after="200" w:line="276" w:lineRule="auto"/>
      </w:pPr>
      <w:r>
        <w:t>(c) Antipsychotics alone</w:t>
      </w:r>
    </w:p>
    <w:p>
      <w:pPr>
        <w:spacing w:after="200" w:line="276" w:lineRule="auto"/>
      </w:pPr>
      <w:r>
        <w:t>(d) ECT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SSRIs at higher doses with CBT (exposure and response prevention)</w:t>
      </w:r>
    </w:p>
    <w:p>
      <w:pPr>
        <w:spacing w:after="200" w:line="276" w:lineRule="auto"/>
      </w:pPr>
      <w:r>
        <w:t>🧠 Clinical Rationale: SSRI + ERP is first-line; augmentation with clomipramine or antipsychotics for refractory cases.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OCD - First-Line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SSRIs at higher doses with CBT (exposure and response prevention)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Benzodiazepines — correct in another context, but not for this patient/drug link</w:t>
      </w:r>
    </w:p>
    <w:p>
      <w:pPr>
        <w:spacing w:after="200" w:line="276" w:lineRule="auto"/>
      </w:pPr>
      <w:r>
        <w:t>C. Antipsychotics alone — correct in another context, but not for this patient/drug link</w:t>
      </w:r>
    </w:p>
    <w:p>
      <w:pPr>
        <w:spacing w:after="200" w:line="276" w:lineRule="auto"/>
      </w:pPr>
      <w:r>
        <w:t>D. ECT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severe mania with agitation, the nurse should</w:t>
      </w:r>
    </w:p>
    <w:p>
      <w:pPr>
        <w:spacing w:after="200" w:line="276" w:lineRule="auto"/>
      </w:pPr>
      <w:r>
        <w:t>(a) Ensure safety, minimise stimuli, and give mood stabiliser/antipsychotic per protocol</w:t>
      </w:r>
    </w:p>
    <w:p>
      <w:pPr>
        <w:spacing w:after="200" w:line="276" w:lineRule="auto"/>
      </w:pPr>
      <w:r>
        <w:t>(b) Encourage debate</w:t>
      </w:r>
    </w:p>
    <w:p>
      <w:pPr>
        <w:spacing w:after="200" w:line="276" w:lineRule="auto"/>
      </w:pPr>
      <w:r>
        <w:t>(c) Restrict fluids</w:t>
      </w:r>
    </w:p>
    <w:p>
      <w:pPr>
        <w:spacing w:after="200" w:line="276" w:lineRule="auto"/>
      </w:pPr>
      <w:r>
        <w:t>(d) No supervision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Ensure safety, minimise stimuli, and give mood stabiliser/antipsychotic per protocol</w:t>
      </w:r>
    </w:p>
    <w:p>
      <w:pPr>
        <w:spacing w:after="200" w:line="276" w:lineRule="auto"/>
      </w:pPr>
      <w:r>
        <w:t>🧠 Clinical Rationale: Stabilise environment and medication; watch for exhaustion, dehydration and risky behaviour.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Bipolar - Mania Emergency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Ensure safety, minimise stimuli, and give mood stabiliser/antipsychotic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Encourage debate — correct in another context, but not for this patient/drug link</w:t>
      </w:r>
    </w:p>
    <w:p>
      <w:pPr>
        <w:spacing w:after="200" w:line="276" w:lineRule="auto"/>
      </w:pPr>
      <w:r>
        <w:t>C. Restrict fluids — correct in another context, but not for this patient/drug link</w:t>
      </w:r>
    </w:p>
    <w:p>
      <w:pPr>
        <w:spacing w:after="200" w:line="276" w:lineRule="auto"/>
      </w:pPr>
      <w:r>
        <w:t>D. No supervision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Informed consent is valid only when the patient has</w:t>
      </w:r>
    </w:p>
    <w:p>
      <w:pPr>
        <w:spacing w:after="200" w:line="276" w:lineRule="auto"/>
      </w:pPr>
      <w:r>
        <w:t>(a) Signed by a relative</w:t>
      </w:r>
    </w:p>
    <w:p>
      <w:pPr>
        <w:spacing w:after="200" w:line="276" w:lineRule="auto"/>
      </w:pPr>
      <w:r>
        <w:t>(b) Verbal agreement only</w:t>
      </w:r>
    </w:p>
    <w:p>
      <w:pPr>
        <w:spacing w:after="200" w:line="276" w:lineRule="auto"/>
      </w:pPr>
      <w:r>
        <w:t>(c) Capacity, adequate information and freedom from coercion</w:t>
      </w:r>
    </w:p>
    <w:p>
      <w:pPr>
        <w:spacing w:after="200" w:line="276" w:lineRule="auto"/>
      </w:pPr>
      <w:r>
        <w:t>(d) No questions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Capacity, adequate information and freedom from coercion</w:t>
      </w:r>
    </w:p>
    <w:p>
      <w:pPr>
        <w:spacing w:after="200" w:line="276" w:lineRule="auto"/>
      </w:pPr>
      <w:r>
        <w:t>🧠 Clinical Rationale: Consent must be voluntary, informed and competent; document the discussion.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Informed Consent - Valid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Capacity, adequate information and freedom from coercion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Signed by a relative — correct in another context, but not for this patient/drug link</w:t>
      </w:r>
    </w:p>
    <w:p>
      <w:pPr>
        <w:spacing w:after="200" w:line="276" w:lineRule="auto"/>
      </w:pPr>
      <w:r>
        <w:t>B. Verbal agreement only — correct in another context, but not for this patient/drug link</w:t>
      </w:r>
    </w:p>
    <w:p>
      <w:pPr>
        <w:spacing w:after="200" w:line="276" w:lineRule="auto"/>
      </w:pPr>
      <w:r>
        <w:t>D. No questions — correct in another context, but not for this patient/drug link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advance directive allows a patient to</w:t>
      </w:r>
    </w:p>
    <w:p>
      <w:pPr>
        <w:spacing w:after="200" w:line="276" w:lineRule="auto"/>
      </w:pPr>
      <w:r>
        <w:t>(a) Choose a hospital</w:t>
      </w:r>
    </w:p>
    <w:p>
      <w:pPr>
        <w:spacing w:after="200" w:line="276" w:lineRule="auto"/>
      </w:pPr>
      <w:r>
        <w:t>(b) Avoid all care</w:t>
      </w:r>
    </w:p>
    <w:p>
      <w:pPr>
        <w:spacing w:after="200" w:line="276" w:lineRule="auto"/>
      </w:pPr>
      <w:r>
        <w:t>(c) State treatment preferences in case of future incapacity</w:t>
      </w:r>
    </w:p>
    <w:p>
      <w:pPr>
        <w:spacing w:after="200" w:line="276" w:lineRule="auto"/>
      </w:pPr>
      <w:r>
        <w:t>(d) Transfer hospitals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State treatment preferences in case of future incapacity</w:t>
      </w:r>
    </w:p>
    <w:p>
      <w:pPr>
        <w:spacing w:after="200" w:line="276" w:lineRule="auto"/>
      </w:pPr>
      <w:r>
        <w:t>🧠 Clinical Rationale: Advance directives guide care when the patient cannot decide; respect and document.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Advance Directive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State treatment preferences in case of future incapacity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Choose a hospital — correct in another context, but not for this patient/drug link</w:t>
      </w:r>
    </w:p>
    <w:p>
      <w:pPr>
        <w:spacing w:after="200" w:line="276" w:lineRule="auto"/>
      </w:pPr>
      <w:r>
        <w:t>B. Avoid all care — correct in another context, but not for this patient/drug link</w:t>
      </w:r>
    </w:p>
    <w:p>
      <w:pPr>
        <w:spacing w:after="200" w:line="276" w:lineRule="auto"/>
      </w:pPr>
      <w:r>
        <w:t>D. Transfer hospitals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SOAP charting stands for</w:t>
      </w:r>
    </w:p>
    <w:p>
      <w:pPr>
        <w:spacing w:after="200" w:line="276" w:lineRule="auto"/>
      </w:pPr>
      <w:r>
        <w:t>(a) Signs, Observations, Actions, Progress</w:t>
      </w:r>
    </w:p>
    <w:p>
      <w:pPr>
        <w:spacing w:after="200" w:line="276" w:lineRule="auto"/>
      </w:pPr>
      <w:r>
        <w:t>(b) Symptoms, Orders, Assessment, Plan</w:t>
      </w:r>
    </w:p>
    <w:p>
      <w:pPr>
        <w:spacing w:after="200" w:line="276" w:lineRule="auto"/>
      </w:pPr>
      <w:r>
        <w:t>(c) Subjective, Orders, Actions, Plan</w:t>
      </w:r>
    </w:p>
    <w:p>
      <w:pPr>
        <w:spacing w:after="200" w:line="276" w:lineRule="auto"/>
      </w:pPr>
      <w:r>
        <w:t>(d) Subjective, Objective, Assessment, Plan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Subjective, Objective, Assessment, Plan</w:t>
      </w:r>
    </w:p>
    <w:p>
      <w:pPr>
        <w:spacing w:after="200" w:line="276" w:lineRule="auto"/>
      </w:pPr>
      <w:r>
        <w:t>🧠 Clinical Rationale: SOAP structures notes; alternatives include PIE, DAR and narrative formats.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Documentation - SOAP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Subjective, Objective, Assessment, Plan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Signs, Observations, Actions, Progress — correct in another context, but not for this patient/drug link</w:t>
      </w:r>
    </w:p>
    <w:p>
      <w:pPr>
        <w:spacing w:after="200" w:line="276" w:lineRule="auto"/>
      </w:pPr>
      <w:r>
        <w:t>B. Symptoms, Orders, Assessment, Plan — correct in another context, but not for this patient/drug link</w:t>
      </w:r>
    </w:p>
    <w:p>
      <w:pPr>
        <w:spacing w:after="200" w:line="276" w:lineRule="auto"/>
      </w:pPr>
      <w:r>
        <w:t>C. Subjective, Orders, Actions, Plan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SBAR communication stands for</w:t>
      </w:r>
    </w:p>
    <w:p>
      <w:pPr>
        <w:spacing w:after="200" w:line="276" w:lineRule="auto"/>
      </w:pPr>
      <w:r>
        <w:t>(a) Symptom, Blood, Airway, Review</w:t>
      </w:r>
    </w:p>
    <w:p>
      <w:pPr>
        <w:spacing w:after="200" w:line="276" w:lineRule="auto"/>
      </w:pPr>
      <w:r>
        <w:t>(b) Summary, Balance, Action, Result</w:t>
      </w:r>
    </w:p>
    <w:p>
      <w:pPr>
        <w:spacing w:after="200" w:line="276" w:lineRule="auto"/>
      </w:pPr>
      <w:r>
        <w:t>(c) Signs, Breathing, Assessment, Response</w:t>
      </w:r>
    </w:p>
    <w:p>
      <w:pPr>
        <w:spacing w:after="200" w:line="276" w:lineRule="auto"/>
      </w:pPr>
      <w:r>
        <w:t>(d) Situation, Background, Assessment, Recommendation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Situation, Background, Assessment, Recommendation</w:t>
      </w:r>
    </w:p>
    <w:p>
      <w:pPr>
        <w:spacing w:after="200" w:line="276" w:lineRule="auto"/>
      </w:pPr>
      <w:r>
        <w:t>🧠 Clinical Rationale: SBAR standardises hand-offs and reduces communication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Hand-Off - SBAR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Situation, Background, Assessment, Recommendation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Symptom, Blood, Airway, Review — correct in another context, but not for this patient/drug link</w:t>
      </w:r>
    </w:p>
    <w:p>
      <w:pPr>
        <w:spacing w:after="200" w:line="276" w:lineRule="auto"/>
      </w:pPr>
      <w:r>
        <w:t>B. Summary, Balance, Action, Result — correct in another context, but not for this patient/drug link</w:t>
      </w:r>
    </w:p>
    <w:p>
      <w:pPr>
        <w:spacing w:after="200" w:line="276" w:lineRule="auto"/>
      </w:pPr>
      <w:r>
        <w:t>C. Signs, Breathing, Assessment, Response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Sengstaken-Blakemore tube is used as a temporising measure for</w:t>
      </w:r>
    </w:p>
    <w:p>
      <w:pPr>
        <w:spacing w:after="200" w:line="276" w:lineRule="auto"/>
      </w:pPr>
      <w:r>
        <w:t>(a) Peptic ulcer pain</w:t>
      </w:r>
    </w:p>
    <w:p>
      <w:pPr>
        <w:spacing w:after="200" w:line="276" w:lineRule="auto"/>
      </w:pPr>
      <w:r>
        <w:t>(b) Variceal bleeding not controlled by endoscopy/vasoactives</w:t>
      </w:r>
    </w:p>
    <w:p>
      <w:pPr>
        <w:spacing w:after="200" w:line="276" w:lineRule="auto"/>
      </w:pPr>
      <w:r>
        <w:t>(c) Gallstones</w:t>
      </w:r>
    </w:p>
    <w:p>
      <w:pPr>
        <w:spacing w:after="200" w:line="276" w:lineRule="auto"/>
      </w:pPr>
      <w:r>
        <w:t>(d) Appendicitis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Variceal bleeding not controlled by endoscopy/vasoactives</w:t>
      </w:r>
    </w:p>
    <w:p>
      <w:pPr>
        <w:spacing w:after="200" w:line="276" w:lineRule="auto"/>
      </w:pPr>
      <w:r>
        <w:t>🧠 Clinical Rationale: Balloon tamponade buys time before definitive therapy; risk of aspiration and necrosis.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GI Bleed - Sengstaken Tube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Variceal bleeding not controlled by endoscopy/vasoactives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Peptic ulcer pain — correct in another context, but not for this patient/drug link</w:t>
      </w:r>
    </w:p>
    <w:p>
      <w:pPr>
        <w:spacing w:after="200" w:line="276" w:lineRule="auto"/>
      </w:pPr>
      <w:r>
        <w:t>C. Gallstones — correct in another context, but not for this patient/drug link</w:t>
      </w:r>
    </w:p>
    <w:p>
      <w:pPr>
        <w:spacing w:after="200" w:line="276" w:lineRule="auto"/>
      </w:pPr>
      <w:r>
        <w:t>D. Appendicitis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peritonitis typically has</w:t>
      </w:r>
    </w:p>
    <w:p>
      <w:pPr>
        <w:spacing w:after="200" w:line="276" w:lineRule="auto"/>
      </w:pPr>
      <w:r>
        <w:t>(a) Generalised abdominal rigidity, rebound tenderness and guarding</w:t>
      </w:r>
    </w:p>
    <w:p>
      <w:pPr>
        <w:spacing w:after="200" w:line="276" w:lineRule="auto"/>
      </w:pPr>
      <w:r>
        <w:t>(b) Soft abdomen</w:t>
      </w:r>
    </w:p>
    <w:p>
      <w:pPr>
        <w:spacing w:after="200" w:line="276" w:lineRule="auto"/>
      </w:pPr>
      <w:r>
        <w:t>(c) Normal bowel sounds</w:t>
      </w:r>
    </w:p>
    <w:p>
      <w:pPr>
        <w:spacing w:after="200" w:line="276" w:lineRule="auto"/>
      </w:pPr>
      <w:r>
        <w:t>(d) No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Generalised abdominal rigidity, rebound tenderness and guarding</w:t>
      </w:r>
    </w:p>
    <w:p>
      <w:pPr>
        <w:spacing w:after="200" w:line="276" w:lineRule="auto"/>
      </w:pPr>
      <w:r>
        <w:t>🧠 Clinical Rationale: Peritonism + systemic toxicity = surgical abdomen; NPO, IV fluids, antibiotics,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Peritonitis -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Generalised abdominal rigidity, rebound tenderness and guarding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Soft abdomen — correct in another context, but not for this patient/drug link</w:t>
      </w:r>
    </w:p>
    <w:p>
      <w:pPr>
        <w:spacing w:after="200" w:line="276" w:lineRule="auto"/>
      </w:pPr>
      <w:r>
        <w:t>C. Normal bowel sounds — correct in another context, but not for this patient/drug link</w:t>
      </w:r>
    </w:p>
    <w:p>
      <w:pPr>
        <w:spacing w:after="200" w:line="276" w:lineRule="auto"/>
      </w:pPr>
      <w:r>
        <w:t>D. No pain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strangulated hernia presents with</w:t>
      </w:r>
    </w:p>
    <w:p>
      <w:pPr>
        <w:spacing w:after="200" w:line="276" w:lineRule="auto"/>
      </w:pPr>
      <w:r>
        <w:t>(a) Reducible lump</w:t>
      </w:r>
    </w:p>
    <w:p>
      <w:pPr>
        <w:spacing w:after="200" w:line="276" w:lineRule="auto"/>
      </w:pPr>
      <w:r>
        <w:t>(b) No pain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Irreducible tender lump with vomiting, distension and signs of obstruction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Irreducible tender lump with vomiting, distension and signs of obstruction</w:t>
      </w:r>
    </w:p>
    <w:p>
      <w:pPr>
        <w:spacing w:after="200" w:line="276" w:lineRule="auto"/>
      </w:pPr>
      <w:r>
        <w:t>🧠 Clinical Rationale: Strangulation = ischaemia — urgent surgery; never force reduction.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Hernia - Strangulation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Irreducible tender lump with vomiting, distension and signs of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Reducible lump — correct in another context, but not for this patient/drug link</w:t>
      </w:r>
    </w:p>
    <w:p>
      <w:pPr>
        <w:spacing w:after="200" w:line="276" w:lineRule="auto"/>
      </w:pPr>
      <w:r>
        <w:t>B. No pain — correct in another context, but not for this patient/drug link</w:t>
      </w:r>
    </w:p>
    <w:p>
      <w:pPr>
        <w:spacing w:after="200" w:line="276" w:lineRule="auto"/>
      </w:pPr>
      <w:r>
        <w:t>C. Diarrhoea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Post-haemorrhoidectomy care includes</w:t>
      </w:r>
    </w:p>
    <w:p>
      <w:pPr>
        <w:spacing w:after="200" w:line="276" w:lineRule="auto"/>
      </w:pPr>
      <w:r>
        <w:t>(a) Constipating diet</w:t>
      </w:r>
    </w:p>
    <w:p>
      <w:pPr>
        <w:spacing w:after="200" w:line="276" w:lineRule="auto"/>
      </w:pPr>
      <w:r>
        <w:t>(b) Immediate straining</w:t>
      </w:r>
    </w:p>
    <w:p>
      <w:pPr>
        <w:spacing w:after="200" w:line="276" w:lineRule="auto"/>
      </w:pPr>
      <w:r>
        <w:t>(c) No analgesia</w:t>
      </w:r>
    </w:p>
    <w:p>
      <w:pPr>
        <w:spacing w:after="200" w:line="276" w:lineRule="auto"/>
      </w:pPr>
      <w:r>
        <w:t>(d) Sitz baths, stool softeners, analgesics and monitoring for bleeding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Sitz baths, stool softeners, analgesics and monitoring for bleeding</w:t>
      </w:r>
    </w:p>
    <w:p>
      <w:pPr>
        <w:spacing w:after="200" w:line="276" w:lineRule="auto"/>
      </w:pPr>
      <w:r>
        <w:t>🧠 Clinical Rationale: Sitz baths and laxatives prevent pain/bleeding; observe for reactionary haemorrhage.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Haemorrhoids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Sitz baths, stool softeners, analgesics and monitoring for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Constipating diet — correct in another context, but not for this patient/drug link</w:t>
      </w:r>
    </w:p>
    <w:p>
      <w:pPr>
        <w:spacing w:after="200" w:line="276" w:lineRule="auto"/>
      </w:pPr>
      <w:r>
        <w:t>B. Immediate straining — correct in another context, but not for this patient/drug link</w:t>
      </w:r>
    </w:p>
    <w:p>
      <w:pPr>
        <w:spacing w:after="200" w:line="276" w:lineRule="auto"/>
      </w:pPr>
      <w:r>
        <w:t>C. No analgesia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liver transplant, the nurse monitors for rejection with</w:t>
      </w:r>
    </w:p>
    <w:p>
      <w:pPr>
        <w:spacing w:after="200" w:line="276" w:lineRule="auto"/>
      </w:pPr>
      <w:r>
        <w:t>(a) Only BP</w:t>
      </w:r>
    </w:p>
    <w:p>
      <w:pPr>
        <w:spacing w:after="200" w:line="276" w:lineRule="auto"/>
      </w:pPr>
      <w:r>
        <w:t>(b) Blood glucose</w:t>
      </w:r>
    </w:p>
    <w:p>
      <w:pPr>
        <w:spacing w:after="200" w:line="276" w:lineRule="auto"/>
      </w:pPr>
      <w:r>
        <w:t>(c) Liver function tests, bile output and clinical signs (jaundice, fever)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Liver function tests, bile output and clinical signs (jaundice, fever)</w:t>
      </w:r>
    </w:p>
    <w:p>
      <w:pPr>
        <w:spacing w:after="200" w:line="276" w:lineRule="auto"/>
      </w:pPr>
      <w:r>
        <w:t>🧠 Clinical Rationale: LFT trends and biopsy diagnose rejection; immunosuppression (tacrolimus) with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Liver Transplant - Rejection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Liver function tests, bile output and clinical signs (jaundice, fever)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BP — correct in another context, but not for this patient/drug link</w:t>
      </w:r>
    </w:p>
    <w:p>
      <w:pPr>
        <w:spacing w:after="200" w:line="276" w:lineRule="auto"/>
      </w:pPr>
      <w:r>
        <w:t>B. Blood glucose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abdominal paracentesis, the nurse monitors for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Bleeding, hypotension and signs of bowel perforation</w:t>
      </w:r>
    </w:p>
    <w:p>
      <w:pPr>
        <w:spacing w:after="200" w:line="276" w:lineRule="auto"/>
      </w:pPr>
      <w:r>
        <w:t>(c) Rash</w:t>
      </w:r>
    </w:p>
    <w:p>
      <w:pPr>
        <w:spacing w:after="200" w:line="276" w:lineRule="auto"/>
      </w:pPr>
      <w:r>
        <w:t>(d) None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Bleeding, hypotension and signs of bowel perforation</w:t>
      </w:r>
    </w:p>
    <w:p>
      <w:pPr>
        <w:spacing w:after="200" w:line="276" w:lineRule="auto"/>
      </w:pPr>
      <w:r>
        <w:t>🧠 Clinical Rationale: Watch puncture site, vitals and peritonitis signs; albumin infusion after large volumes.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Paracentesis -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Bleeding, hypotension and signs of bowel perforation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correct in another context, but not for this patient/drug link</w:t>
      </w:r>
    </w:p>
    <w:p>
      <w:pPr>
        <w:spacing w:after="200" w:line="276" w:lineRule="auto"/>
      </w:pPr>
      <w:r>
        <w:t>C. Rash — correct in another context, but not for this patient/drug link</w:t>
      </w:r>
    </w:p>
    <w:p>
      <w:pPr>
        <w:spacing w:after="200" w:line="276" w:lineRule="auto"/>
      </w:pPr>
      <w:r>
        <w:t>D. None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Fat embolism syndrome after long-bone fracture presents with</w:t>
      </w:r>
    </w:p>
    <w:p>
      <w:pPr>
        <w:spacing w:after="200" w:line="276" w:lineRule="auto"/>
      </w:pPr>
      <w:r>
        <w:t>(a) Hypoxia, petechial rash and confusion (within 24-72 h)</w:t>
      </w:r>
    </w:p>
    <w:p>
      <w:pPr>
        <w:spacing w:after="200" w:line="276" w:lineRule="auto"/>
      </w:pPr>
      <w:r>
        <w:t>(b) Warm extremities</w:t>
      </w:r>
    </w:p>
    <w:p>
      <w:pPr>
        <w:spacing w:after="200" w:line="276" w:lineRule="auto"/>
      </w:pPr>
      <w:r>
        <w:t>(c) Hyperglycaemia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Hypoxia, petechial rash and confusion (within 24-72 h)</w:t>
      </w:r>
    </w:p>
    <w:p>
      <w:pPr>
        <w:spacing w:after="200" w:line="276" w:lineRule="auto"/>
      </w:pPr>
      <w:r>
        <w:t>🧠 Clinical Rationale: Immobilise fractures early; supportive care with oxygen; petechiae over chest/axillae.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Fracture - Fat Embolism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Hypoxia, petechial rash and confusion (within 24-72 h)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Warm extremities — correct in another context, but not for this patient/drug link</w:t>
      </w:r>
    </w:p>
    <w:p>
      <w:pPr>
        <w:spacing w:after="200" w:line="276" w:lineRule="auto"/>
      </w:pPr>
      <w:r>
        <w:t>C. Hyperglycaemia — correct in another context, but not for this patient/drug link</w:t>
      </w:r>
    </w:p>
    <w:p>
      <w:pPr>
        <w:spacing w:after="200" w:line="276" w:lineRule="auto"/>
      </w:pPr>
      <w:r>
        <w:t>D. Constipation — correct in another context, but not for this patient/drug link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fracture risk in osteoporosis, advise</w:t>
      </w:r>
    </w:p>
    <w:p>
      <w:pPr>
        <w:spacing w:after="200" w:line="276" w:lineRule="auto"/>
      </w:pPr>
      <w:r>
        <w:t>(a) Bed rest</w:t>
      </w:r>
    </w:p>
    <w:p>
      <w:pPr>
        <w:spacing w:after="200" w:line="276" w:lineRule="auto"/>
      </w:pPr>
      <w:r>
        <w:t>(b) Only calcium without D</w:t>
      </w:r>
    </w:p>
    <w:p>
      <w:pPr>
        <w:spacing w:after="200" w:line="276" w:lineRule="auto"/>
      </w:pPr>
      <w:r>
        <w:t>(c) Weight-bearing exercise, adequate calcium/vitamin D and fall prevention</w:t>
      </w:r>
    </w:p>
    <w:p>
      <w:pPr>
        <w:spacing w:after="200" w:line="276" w:lineRule="auto"/>
      </w:pPr>
      <w:r>
        <w:t>(d) High-impact falls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Weight-bearing exercise, adequate calcium/vitamin D and fall prevention</w:t>
      </w:r>
    </w:p>
    <w:p>
      <w:pPr>
        <w:spacing w:after="200" w:line="276" w:lineRule="auto"/>
      </w:pPr>
      <w:r>
        <w:t>🧠 Clinical Rationale: Lifestyle + pharmacotherapy (bisphosphonates) reduce fractures; screen with DXA.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Osteoporosis - Education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Weight-bearing exercise, adequate calcium/vitamin D and fall prevention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Bed rest — correct in another context, but not for this patient/drug link</w:t>
      </w:r>
    </w:p>
    <w:p>
      <w:pPr>
        <w:spacing w:after="200" w:line="276" w:lineRule="auto"/>
      </w:pPr>
      <w:r>
        <w:t>B. Only calcium without D — correct in another context, but not for this patient/drug link</w:t>
      </w:r>
    </w:p>
    <w:p>
      <w:pPr>
        <w:spacing w:after="200" w:line="276" w:lineRule="auto"/>
      </w:pPr>
      <w:r>
        <w:t>D. High-impact falls — correct in another context, but not for this patient/drug link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Osteoporosis</w:t>
      </w:r>
    </w:p>
    <w:p>
      <w:pPr>
        <w:spacing w:after="200" w:line="276" w:lineRule="auto"/>
      </w:pPr>
      <w:r>
        <w:t>→ Risk: postmenopausal women, low calcium/vitamin D, smoking, steroids</w:t>
      </w:r>
    </w:p>
    <w:p>
      <w:pPr>
        <w:spacing w:after="200" w:line="276" w:lineRule="auto"/>
      </w:pPr>
      <w:r>
        <w:t>→ Prevention: calcium 1000–1200 mg, vitamin D, weight-bearing exercise</w:t>
      </w:r>
    </w:p>
    <w:p>
      <w:pPr>
        <w:spacing w:after="200" w:line="276" w:lineRule="auto"/>
      </w:pPr>
      <w:r>
        <w:t>→ Screen: DEXA scan; treat with bisphosphonates</w:t>
      </w:r>
    </w:p>
    <w:p>
      <w:pPr>
        <w:spacing w:after="200" w:line="276" w:lineRule="auto"/>
      </w:pPr>
      <w:r>
        <w:t>→ Safety: fall prevention, hip protectors, home safety review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3 pressure injury shows</w:t>
      </w:r>
    </w:p>
    <w:p>
      <w:pPr>
        <w:spacing w:after="200" w:line="276" w:lineRule="auto"/>
      </w:pPr>
      <w:r>
        <w:t>(a) Intact skin redness</w:t>
      </w:r>
    </w:p>
    <w:p>
      <w:pPr>
        <w:spacing w:after="200" w:line="276" w:lineRule="auto"/>
      </w:pPr>
      <w:r>
        <w:t>(b) Full-thickness skin loss with visible subcutaneous fat (no bone/tendon)</w:t>
      </w:r>
    </w:p>
    <w:p>
      <w:pPr>
        <w:spacing w:after="200" w:line="276" w:lineRule="auto"/>
      </w:pPr>
      <w:r>
        <w:t>(c) Bone exposure</w:t>
      </w:r>
    </w:p>
    <w:p>
      <w:pPr>
        <w:spacing w:after="200" w:line="276" w:lineRule="auto"/>
      </w:pPr>
      <w:r>
        <w:t>(d) Blister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Full-thickness skin loss with visible subcutaneous fat (no bone/tendon)</w:t>
      </w:r>
    </w:p>
    <w:p>
      <w:pPr>
        <w:spacing w:after="200" w:line="276" w:lineRule="auto"/>
      </w:pPr>
      <w:r>
        <w:t>🧠 Clinical Rationale: Stage 3: full-thickness loss to fat; stage 4 exposes bone/tendon; unstageable if slough covers.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Pressure Injury - Staging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Full-thickness skin loss with visible subcutaneous fat (no bone/tendon)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Intact skin redness — correct in another context, but not for this patient/drug link</w:t>
      </w:r>
    </w:p>
    <w:p>
      <w:pPr>
        <w:spacing w:after="200" w:line="276" w:lineRule="auto"/>
      </w:pPr>
      <w:r>
        <w:t>C. Bone exposure — correct in another context, but not for this patient/drug link</w:t>
      </w:r>
    </w:p>
    <w:p>
      <w:pPr>
        <w:spacing w:after="200" w:line="276" w:lineRule="auto"/>
      </w:pPr>
      <w:r>
        <w:t>D. Blister only — correct in another context, but not for this patient/drug link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Systemic antibiotics are required for cellulitis with</w:t>
      </w:r>
    </w:p>
    <w:p>
      <w:pPr>
        <w:spacing w:after="200" w:line="276" w:lineRule="auto"/>
      </w:pPr>
      <w:r>
        <w:t>(a) Localised mild redness only</w:t>
      </w:r>
    </w:p>
    <w:p>
      <w:pPr>
        <w:spacing w:after="200" w:line="276" w:lineRule="auto"/>
      </w:pPr>
      <w:r>
        <w:t>(b) No symptoms</w:t>
      </w:r>
    </w:p>
    <w:p>
      <w:pPr>
        <w:spacing w:after="200" w:line="276" w:lineRule="auto"/>
      </w:pPr>
      <w:r>
        <w:t>(c) Healing wound</w:t>
      </w:r>
    </w:p>
    <w:p>
      <w:pPr>
        <w:spacing w:after="200" w:line="276" w:lineRule="auto"/>
      </w:pPr>
      <w:r>
        <w:t>(d) Fever, lymphangitis, rapid spread or immunocompromise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Fever, lymphangitis, rapid spread or immunocompromise</w:t>
      </w:r>
    </w:p>
    <w:p>
      <w:pPr>
        <w:spacing w:after="200" w:line="276" w:lineRule="auto"/>
      </w:pPr>
      <w:r>
        <w:t>🧠 Clinical Rationale: Mild cellulitis: oral antibiotics; severe/systemic: IV therapy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Cellulitis - Systemics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Fever, lymphangitis, rapid spread or immunocompromise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Localised mild redness only — correct in another context, but not for this patient/drug link</w:t>
      </w:r>
    </w:p>
    <w:p>
      <w:pPr>
        <w:spacing w:after="200" w:line="276" w:lineRule="auto"/>
      </w:pPr>
      <w:r>
        <w:t>B. No symptoms — correct in another context, but not for this patient/drug link</w:t>
      </w:r>
    </w:p>
    <w:p>
      <w:pPr>
        <w:spacing w:after="200" w:line="276" w:lineRule="auto"/>
      </w:pPr>
      <w:r>
        <w:t>C. Healing wound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management of epistaxis is</w:t>
      </w:r>
    </w:p>
    <w:p>
      <w:pPr>
        <w:spacing w:after="200" w:line="276" w:lineRule="auto"/>
      </w:pPr>
      <w:r>
        <w:t>(a) Sit leaning forward, pinch the nostrils for 10-15 minutes</w:t>
      </w:r>
    </w:p>
    <w:p>
      <w:pPr>
        <w:spacing w:after="200" w:line="276" w:lineRule="auto"/>
      </w:pPr>
      <w:r>
        <w:t>(b) Tilt the head back</w:t>
      </w:r>
    </w:p>
    <w:p>
      <w:pPr>
        <w:spacing w:after="200" w:line="276" w:lineRule="auto"/>
      </w:pPr>
      <w:r>
        <w:t>(c) Lie flat</w:t>
      </w:r>
    </w:p>
    <w:p>
      <w:pPr>
        <w:spacing w:after="200" w:line="276" w:lineRule="auto"/>
      </w:pPr>
      <w:r>
        <w:t>(d) Blow the nose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Sit leaning forward, pinch the nostrils for 10-15 minutes</w:t>
      </w:r>
    </w:p>
    <w:p>
      <w:pPr>
        <w:spacing w:after="200" w:line="276" w:lineRule="auto"/>
      </w:pPr>
      <w:r>
        <w:t>🧠 Clinical Rationale: Forward lean prevents swallowing blood; pressure on the cartilaginous part; seek ENT if persistent.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Epistaxis - First Aid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Sit leaning forward, pinch the nostrils for 10-15 minutes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Tilt the head back — correct in another context, but not for this patient/drug link</w:t>
      </w:r>
    </w:p>
    <w:p>
      <w:pPr>
        <w:spacing w:after="200" w:line="276" w:lineRule="auto"/>
      </w:pPr>
      <w:r>
        <w:t>C. Lie flat — correct in another context, but not for this patient/drug link</w:t>
      </w:r>
    </w:p>
    <w:p>
      <w:pPr>
        <w:spacing w:after="200" w:line="276" w:lineRule="auto"/>
      </w:pPr>
      <w:r>
        <w:t>D. Blow the nose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angle-closure glaucoma is an emergency because it causes</w:t>
      </w:r>
    </w:p>
    <w:p>
      <w:pPr>
        <w:spacing w:after="200" w:line="276" w:lineRule="auto"/>
      </w:pPr>
      <w:r>
        <w:t>(a) Slow vision loss</w:t>
      </w:r>
    </w:p>
    <w:p>
      <w:pPr>
        <w:spacing w:after="200" w:line="276" w:lineRule="auto"/>
      </w:pPr>
      <w:r>
        <w:t>(b) Rapidly rising IOP with optic nerve damage — treat within hours</w:t>
      </w:r>
    </w:p>
    <w:p>
      <w:pPr>
        <w:spacing w:after="200" w:line="276" w:lineRule="auto"/>
      </w:pPr>
      <w:r>
        <w:t>(c) Dry eyes</w:t>
      </w:r>
    </w:p>
    <w:p>
      <w:pPr>
        <w:spacing w:after="200" w:line="276" w:lineRule="auto"/>
      </w:pPr>
      <w:r>
        <w:t>(d) No risk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Rapidly rising IOP with optic nerve damage — treat within hours</w:t>
      </w:r>
    </w:p>
    <w:p>
      <w:pPr>
        <w:spacing w:after="200" w:line="276" w:lineRule="auto"/>
      </w:pPr>
      <w:r>
        <w:t>🧠 Clinical Rationale: Painful red eye, halos, fixed mid-dilated pupil — IV acetazolamide, pilocarpine, urgent ophthalmology.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Acute Glaucoma - Emergency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Rapidly rising IOP with optic nerve damage — treat within hours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vision loss — correct in another context, but not for this patient/drug link</w:t>
      </w:r>
    </w:p>
    <w:p>
      <w:pPr>
        <w:spacing w:after="200" w:line="276" w:lineRule="auto"/>
      </w:pPr>
      <w:r>
        <w:t>C. Dry eyes — correct in another context, but not for this patient/drug link</w:t>
      </w:r>
    </w:p>
    <w:p>
      <w:pPr>
        <w:spacing w:after="200" w:line="276" w:lineRule="auto"/>
      </w:pPr>
      <w:r>
        <w:t>D. No risk — correct in another context, but not for this patient/drug link</w:t>
      </w:r>
    </w:p>
    <w:p>
      <w:pPr>
        <w:spacing w:after="200" w:line="276" w:lineRule="auto"/>
      </w:pPr>
      <w:r>
        <w:t>⚠️ Exam Trap: Glaucoma care: avoid activities that raise IOP — straining, heavy lifting, bending, tight collars; angle-closure is an emergency (painful red eye).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Glaucoma: raised intraocular pressure damages the optic nerve — eye drops (beta-blockers/prostaglandins) and avoid straining/Valsalva.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Glaucoma</w:t>
      </w:r>
    </w:p>
    <w:p>
      <w:pPr>
        <w:spacing w:after="200" w:line="276" w:lineRule="auto"/>
      </w:pPr>
      <w:r>
        <w:t>→ Open-angle: chronic, silent peripheral vision loss — most common</w:t>
      </w:r>
    </w:p>
    <w:p>
      <w:pPr>
        <w:spacing w:after="200" w:line="276" w:lineRule="auto"/>
      </w:pPr>
      <w:r>
        <w:t>→ Angle-closure: sudden severe eye pain, halos, nausea — EMERGENCY (pilocarpine, laser)</w:t>
      </w:r>
    </w:p>
    <w:p>
      <w:pPr>
        <w:spacing w:after="200" w:line="276" w:lineRule="auto"/>
      </w:pPr>
      <w:r>
        <w:t>→ Treatment: prostaglandin analogues, beta-blocker drops, laser/surgery</w:t>
      </w:r>
    </w:p>
    <w:p>
      <w:pPr>
        <w:spacing w:after="200" w:line="276" w:lineRule="auto"/>
      </w:pPr>
      <w:r>
        <w:t>→ Teaching: no heavy lifting/straining, take drops regularly, report vision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cataract surgery, the nurse teaches the patient to</w:t>
      </w:r>
    </w:p>
    <w:p>
      <w:pPr>
        <w:spacing w:after="200" w:line="276" w:lineRule="auto"/>
      </w:pPr>
      <w:r>
        <w:t>(a) Rub the eye</w:t>
      </w:r>
    </w:p>
    <w:p>
      <w:pPr>
        <w:spacing w:after="200" w:line="276" w:lineRule="auto"/>
      </w:pPr>
      <w:r>
        <w:t>(b) Lift heavy weights</w:t>
      </w:r>
    </w:p>
    <w:p>
      <w:pPr>
        <w:spacing w:after="200" w:line="276" w:lineRule="auto"/>
      </w:pPr>
      <w:r>
        <w:t>(c) Avoid straining, rubbing the eye and bending below waist; use eye drops as ordered</w:t>
      </w:r>
    </w:p>
    <w:p>
      <w:pPr>
        <w:spacing w:after="200" w:line="276" w:lineRule="auto"/>
      </w:pPr>
      <w:r>
        <w:t>(d) Swim immediately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Avoid straining, rubbing the eye and bending below waist; use eye drops as ordered</w:t>
      </w:r>
    </w:p>
    <w:p>
      <w:pPr>
        <w:spacing w:after="200" w:line="276" w:lineRule="auto"/>
      </w:pPr>
      <w:r>
        <w:t>🧠 Clinical Rationale: Protect the eye with shield, use prescribed drops, report pain/redness/drooping.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Cataract - Post-Op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Avoid straining, rubbing the eye and bending below waist; use eye drops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 the eye — correct in another context, but not for this patient/drug link</w:t>
      </w:r>
    </w:p>
    <w:p>
      <w:pPr>
        <w:spacing w:after="200" w:line="276" w:lineRule="auto"/>
      </w:pPr>
      <w:r>
        <w:t>B. Lift heavy weights — correct in another context, but not for this patient/drug link</w:t>
      </w:r>
    </w:p>
    <w:p>
      <w:pPr>
        <w:spacing w:after="200" w:line="276" w:lineRule="auto"/>
      </w:pPr>
      <w:r>
        <w:t>D. Swim immediately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Conductive hearing loss is caused by</w:t>
      </w:r>
    </w:p>
    <w:p>
      <w:pPr>
        <w:spacing w:after="200" w:line="276" w:lineRule="auto"/>
      </w:pPr>
      <w:r>
        <w:t>(a) Inner ear damage</w:t>
      </w:r>
    </w:p>
    <w:p>
      <w:pPr>
        <w:spacing w:after="200" w:line="276" w:lineRule="auto"/>
      </w:pPr>
      <w:r>
        <w:t>(b) Problems in the outer/middle ear (wax, otitis media, otosclerosis)</w:t>
      </w:r>
    </w:p>
    <w:p>
      <w:pPr>
        <w:spacing w:after="200" w:line="276" w:lineRule="auto"/>
      </w:pPr>
      <w:r>
        <w:t>(c) Cochlear nerve damage</w:t>
      </w:r>
    </w:p>
    <w:p>
      <w:pPr>
        <w:spacing w:after="200" w:line="276" w:lineRule="auto"/>
      </w:pPr>
      <w:r>
        <w:t>(d) Brainstem lesions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Problems in the outer/middle ear (wax, otitis media, otosclerosis)</w:t>
      </w:r>
    </w:p>
    <w:p>
      <w:pPr>
        <w:spacing w:after="200" w:line="276" w:lineRule="auto"/>
      </w:pPr>
      <w:r>
        <w:t>🧠 Clinical Rationale: Conductive: sound transmission blocked; sensorineural: cochlea/nerve; Weber/Rinne tests differentiate.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Hearing - Conductive Loss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Problems in the outer/middle ear (wax, otitis media, otosclerosis)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Inner ear damage — correct in another context, but not for this patient/drug link</w:t>
      </w:r>
    </w:p>
    <w:p>
      <w:pPr>
        <w:spacing w:after="200" w:line="276" w:lineRule="auto"/>
      </w:pPr>
      <w:r>
        <w:t>C. Cochlear nerve damage — correct in another context, but not for this patient/drug link</w:t>
      </w:r>
    </w:p>
    <w:p>
      <w:pPr>
        <w:spacing w:after="200" w:line="276" w:lineRule="auto"/>
      </w:pPr>
      <w:r>
        <w:t>D. Brainstem lesions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