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physical finding would suggest a post-mortem injury rather than ante-mortem trauma?</w:t>
      </w:r>
    </w:p>
    <w:p>
      <w:r>
        <w:t>(a) Swelling and redness indicating inflammation</w:t>
      </w:r>
    </w:p>
    <w:p>
      <w:r>
        <w:t>(b) Bruising and tissue hemorrhage around the wound</w:t>
      </w:r>
    </w:p>
    <w:p>
      <w:r>
        <w:t>(c) Clean separation of tissue with no blood clot formation or inflammatory response</w:t>
      </w:r>
    </w:p>
    <w:p>
      <w:r>
        <w:t>(d) Healing callus formation at the wound edges</w:t>
      </w:r>
    </w:p>
    <w:p>
      <w:r>
        <w:t>Answer: c</w:t>
      </w:r>
    </w:p>
    <w:p>
      <w:r>
        <w:t>Solution: Post-mortem injuries show clean tissue separation without hemorrhage, thrombosis, or inflammatory response because circulation has ceased. Option B indicates ante-mortem injury (active bleeding). Option A indicates ante-mortem trauma (inflammatory response requires circulation). Option D indicates injury sustained well before death with healing time. Forensic principle: living tissue bleeds and responds; dead tissue does not. This differentiation helps establish whether injuries are related to cause of death.</w:t>
      </w:r>
    </w:p>
    <w:p>
      <w:r>
        <w:t>Positive Marks: 1</w:t>
      </w:r>
    </w:p>
    <w:p>
      <w:r>
        <w:t>Negative Marks: 0.33</w:t>
      </w:r>
    </w:p>
    <w:p>
      <w:r>
        <w:t>Question: A nurse neglects patient hygiene care for several days, causing skin maceration. The patient seeks compensation under the Consumer Protection Act. What is the MOST appropriate basis for compensation calculation?</w:t>
      </w:r>
    </w:p>
    <w:p>
      <w:r>
        <w:t>(a) The cost of additional treatment required minus original charges</w:t>
      </w:r>
    </w:p>
    <w:p>
      <w:r>
        <w:t>(b) Actual loss/injury, medical expenses incurred, and pain/suffering</w:t>
      </w:r>
    </w:p>
    <w:p>
      <w:r>
        <w:t>(c) Fixed compensation amount predetermined by the Act</w:t>
      </w:r>
    </w:p>
    <w:p>
      <w:r>
        <w:t>(d) Hospital's daily charges multiplied by days of neglect</w:t>
      </w:r>
    </w:p>
    <w:p>
      <w:r>
        <w:t>Answer: b</w:t>
      </w:r>
    </w:p>
    <w:p>
      <w:r>
        <w:t>Solution: The Consumer Protection Act allows compensation based on actual loss or injury suffered, medical expenses incurred for remedial treatment, and non-monetary damages like pain and suffering. This is a comprehensive approach to assess true damages. Option D is arbitrary, B is incorrect (no fixed amounts), and D is incomplete. The consumer commission assesses compensation holistically, considering direct medical costs and indirect impacts, which fairly compensates the injured party.</w:t>
      </w:r>
    </w:p>
    <w:p>
      <w:r>
        <w:t>Positive Marks: 1</w:t>
      </w:r>
    </w:p>
    <w:p>
      <w:r>
        <w:t>Negative Marks: 0.33</w:t>
      </w:r>
    </w:p>
    <w:p>
      <w:r>
        <w:t>Question: The identification of a body by relatives is</w:t>
      </w:r>
    </w:p>
    <w:p>
      <w:r>
        <w:t>(a) A corroborative but not definitive method</w:t>
      </w:r>
    </w:p>
    <w:p>
      <w:r>
        <w:t>(b) The only method</w:t>
      </w:r>
    </w:p>
    <w:p>
      <w:r>
        <w:t>(c) Legally prohibited</w:t>
      </w:r>
    </w:p>
    <w:p>
      <w:r>
        <w:t>(d) Always reliable</w:t>
      </w:r>
    </w:p>
    <w:p>
      <w:r>
        <w:t>Answer: a</w:t>
      </w:r>
    </w:p>
    <w:p>
      <w:r>
        <w:t>Solution: Visual identification is supportive; scientific methods (DNA, prints, teeth) are definitive.</w:t>
      </w:r>
    </w:p>
    <w:p>
      <w:r>
        <w:t>Positive Marks: 1</w:t>
      </w:r>
    </w:p>
    <w:p>
      <w:r>
        <w:t>Negative Marks: 0.33</w:t>
      </w:r>
    </w:p>
    <w:p>
      <w:r>
        <w:t>Question: The role of the nurse in the examination of a torture victim includes</w:t>
      </w:r>
    </w:p>
    <w:p>
      <w:r>
        <w:t>(a) Ignoring injuries</w:t>
      </w:r>
    </w:p>
    <w:p>
      <w:r>
        <w:t>(b) Judging the victim</w:t>
      </w:r>
    </w:p>
    <w:p>
      <w:r>
        <w:t>(c) Discharging quickly</w:t>
      </w:r>
    </w:p>
    <w:p>
      <w:r>
        <w:t>(d) Documenting injuries and providing compassionate care</w:t>
      </w:r>
    </w:p>
    <w:p>
      <w:r>
        <w:t>Answer: d</w:t>
      </w:r>
    </w:p>
    <w:p>
      <w:r>
        <w:t>Solution: The nurse assesses, documents injuries meticulously, and supports the victim.</w:t>
      </w:r>
    </w:p>
    <w:p>
      <w:r>
        <w:t>Positive Marks: 1</w:t>
      </w:r>
    </w:p>
    <w:p>
      <w:r>
        <w:t>Negative Marks: 0.33</w:t>
      </w:r>
    </w:p>
    <w:p>
      <w:r>
        <w:t>Question: The Authorization Committee established under the act comprises of:</w:t>
      </w:r>
    </w:p>
    <w:p>
      <w:r>
        <w:t>(a) Only transplant surgeons from major hospitals</w:t>
      </w:r>
    </w:p>
    <w:p>
      <w:r>
        <w:t>(b) Only government-appointed officials</w:t>
      </w:r>
    </w:p>
    <w:p>
      <w:r>
        <w:t>(c) Hospital administrators and finance officials</w:t>
      </w:r>
    </w:p>
    <w:p>
      <w:r>
        <w:t>(d) Registered medical practitioner, social worker, and a person nominated by the district administration</w:t>
      </w:r>
    </w:p>
    <w:p>
      <w:r>
        <w:t>Answer: d</w:t>
      </w:r>
    </w:p>
    <w:p>
      <w:r>
        <w:t>Solution: The Authorization Committee includes a registered medical practitioner, social worker, and representative nominated by district administration to oversee living related transplants. Option B (only officials) lacks medical expertise; C (only surgeons) has conflict of interest; D (administrators) lacks appropriate representation. This composition ensures balanced ethical oversight.</w:t>
      </w:r>
    </w:p>
    <w:p>
      <w:r>
        <w:t>Positive Marks: 1</w:t>
      </w:r>
    </w:p>
    <w:p>
      <w:r>
        <w:t>Negative Marks: 0.33</w:t>
      </w:r>
    </w:p>
    <w:p>
      <w:r>
        <w:t>Question: A woman at 16 weeks gestation presents with severe preeclampsia and signs of imminent eclampsia. For medical termination in this case, how many doctors' opinions are required?</w:t>
      </w:r>
    </w:p>
    <w:p>
      <w:r>
        <w:t>(a) Two doctors</w:t>
      </w:r>
    </w:p>
    <w:p>
      <w:r>
        <w:t>(b) No opinion needed—emergency basis</w:t>
      </w:r>
    </w:p>
    <w:p>
      <w:r>
        <w:t>(c) One doctor</w:t>
      </w:r>
    </w:p>
    <w:p>
      <w:r>
        <w:t>(d) Three doctors</w:t>
      </w:r>
    </w:p>
    <w:p>
      <w:r>
        <w:t>Answer: a</w:t>
      </w:r>
    </w:p>
    <w:p>
      <w:r>
        <w:t>Solution: Even in medical emergencies at 16 weeks (second trimester), TWO registered medical practitioners' opinions are generally required unless it's an immediately life-threatening situation. At 16 weeks, termination on 'grave injury to maternal health' grounds requires dual opinion per Section 3(2)(c). While emergencies may compress the decision timeline, the statutory requirement of two doctors remains the framework. However, if maternal life is immediately endangered, one doctor may act and obtain second opinion subsequently.</w:t>
      </w:r>
    </w:p>
    <w:p>
      <w:r>
        <w:t>Positive Marks: 1</w:t>
      </w:r>
    </w:p>
    <w:p>
      <w:r>
        <w:t>Negative Marks: 0.33</w:t>
      </w:r>
    </w:p>
    <w:p>
      <w:r>
        <w:t>Question: A nurse observes bruises in a clear pattern (hand marks, loop marks from cord) on a 7-year-old during school health check. The child states 'Dad hit me with his belt when I broke his glasses.' Later, the father explains 'She fell while playing.' Which action best reflects the nurse's legal and ethical responsibility?</w:t>
      </w:r>
    </w:p>
    <w:p>
      <w:r>
        <w:t>(a) Report only if injuries exceed 10% of body surface area or result in hospitalization</w:t>
      </w:r>
    </w:p>
    <w:p>
      <w:r>
        <w:t>(b) Dismiss the concern as the child's age makes understanding of consequences difficult</w:t>
      </w:r>
    </w:p>
    <w:p>
      <w:r>
        <w:t>(c) Report the pattern injuries and child's initial disclosure to CWC/DCPO; inconsistent explanations are themselves abuse indicators</w:t>
      </w:r>
    </w:p>
    <w:p>
      <w:r>
        <w:t>(d) Accept the father's explanation as parents have authority over children's discipline</w:t>
      </w:r>
    </w:p>
    <w:p>
      <w:r>
        <w:t>Answer: c</w:t>
      </w:r>
    </w:p>
    <w:p>
      <w:r>
        <w:t>Solution: Pattern injuries combined with the child's initial disclosure and conflicting parental explanation are classic abuse indicators requiring immediate reporting. The discrepancy between child's account and parental explanation is itself a red flag suggesting coaching or coercion. Children's initial spontaneous disclosures to healthcare workers are often more reliable than later retractions. There is no severity threshold for reporting suspected abuse. Documentation of BOTH accounts and all physical findings strengthens the legal case. Reporting obligation exists regardless of parental explanations. Key indicator: Inconsistent stories + Pattern injuries = Immediate mandatory reporting.</w:t>
      </w:r>
    </w:p>
    <w:p>
      <w:r>
        <w:t>Positive Marks: 1</w:t>
      </w:r>
    </w:p>
    <w:p>
      <w:r>
        <w:t>Negative Marks: 0.33</w:t>
      </w:r>
    </w:p>
    <w:p>
      <w:r>
        <w:t>Question: Before final disposal in landfill, pharmaceutical waste must undergo which pre-treatment process?</w:t>
      </w:r>
    </w:p>
    <w:p>
      <w:r>
        <w:t>(a) Segregation and chemical treatment</w:t>
      </w:r>
    </w:p>
    <w:p>
      <w:r>
        <w:t>(b) Only packaging in containers</w:t>
      </w:r>
    </w:p>
    <w:p>
      <w:r>
        <w:t>(c) Autoclaving</w:t>
      </w:r>
    </w:p>
    <w:p>
      <w:r>
        <w:t>(d) Incineration</w:t>
      </w:r>
    </w:p>
    <w:p>
      <w:r>
        <w:t>Answer: a</w:t>
      </w:r>
    </w:p>
    <w:p>
      <w:r>
        <w:t>Solution: Pharmaceutical waste requires segregation and chemical treatment (often using lime or calcium hydroxide) to render medicines non-potent before landfill disposal. This prevents environmental contamination and unintended ingestion by scavengers. Incineration is an alternative if available. Simple packaging without treatment fails to neutralize active pharmaceutical compounds.</w:t>
      </w:r>
    </w:p>
    <w:p>
      <w:r>
        <w:t>Positive Marks: 1</w:t>
      </w:r>
    </w:p>
    <w:p>
      <w:r>
        <w:t>Negative Marks: 0.33</w:t>
      </w:r>
    </w:p>
    <w:p>
      <w:r>
        <w:t>Question: What is the maximum period for which a person can be detained involuntarily in a mental health establishment without government/Chief Medical Officer approval?</w:t>
      </w:r>
    </w:p>
    <w:p>
      <w:r>
        <w:t>(a) 30 days</w:t>
      </w:r>
    </w:p>
    <w:p>
      <w:r>
        <w:t>(b) 48 hours</w:t>
      </w:r>
    </w:p>
    <w:p>
      <w:r>
        <w:t>(c) 7 days</w:t>
      </w:r>
    </w:p>
    <w:p>
      <w:r>
        <w:t>(d) 24 hours</w:t>
      </w:r>
    </w:p>
    <w:p>
      <w:r>
        <w:t>Answer: b</w:t>
      </w:r>
    </w:p>
    <w:p>
      <w:r>
        <w:t>Solution: A person can be detained involuntarily for a maximum of 48 hours without government approval. After 48 hours, permission from the District Mental Health Authority or Chief Medical Officer is mandatory for continued detention. This safeguards against prolonged detention without review and legal oversight. Options a (24h) is too short; options c and d exceed the prescribed limit. Mnemonic: '48 = Four-Eight hours before government review becomes mandatory.'</w:t>
      </w:r>
    </w:p>
    <w:p>
      <w:r>
        <w:t>Positive Marks: 1</w:t>
      </w:r>
    </w:p>
    <w:p>
      <w:r>
        <w:t>Negative Marks: 0.33</w:t>
      </w:r>
    </w:p>
    <w:p>
      <w:r>
        <w:t>Question: Which of the following findings is medico-legally significant in differentiating ANTE-mortem from POST-mortem wounds?</w:t>
      </w:r>
    </w:p>
    <w:p>
      <w:r>
        <w:t>(a) Absence of blood oozing from the wound</w:t>
      </w:r>
    </w:p>
    <w:p>
      <w:r>
        <w:t>(b) Pale coloration of surrounding tissues</w:t>
      </w:r>
    </w:p>
    <w:p>
      <w:r>
        <w:t>(c) Presence of vital reaction with inflammation and hemorrhage around wound margins</w:t>
      </w:r>
    </w:p>
    <w:p>
      <w:r>
        <w:t>(d) Fixed rigor mortis around the wound</w:t>
      </w:r>
    </w:p>
    <w:p>
      <w:r>
        <w:t>Answer: c</w:t>
      </w:r>
    </w:p>
    <w:p>
      <w:r>
        <w:t>Solution: Ante-mortem wounds show vital reaction characterized by inflammatory response, hemorrhage, and tissue edema because the heart is pumping blood and immune response is active. Post-mortem wounds lack these features and show primarily drying and putrefaction changes. This distinction is crucial for forensic determination of injury timing relative to death. Options b, c, and d can occur in both ante and post-mortem wounds.</w:t>
      </w:r>
    </w:p>
    <w:p>
      <w:r>
        <w:t>Positive Marks: 1</w:t>
      </w:r>
    </w:p>
    <w:p>
      <w:r>
        <w:t>Negative Marks: 0.33</w:t>
      </w:r>
    </w:p>
    <w:p>
      <w:r>
        <w:t>Question: An earthquake has occurred and many buildings have collapsed. This situation falls under the definition of a 'disaster' as per the Disaster Management Act because it:</w:t>
      </w:r>
    </w:p>
    <w:p>
      <w:r>
        <w:t>(a) Affects only rural areas</w:t>
      </w:r>
    </w:p>
    <w:p>
      <w:r>
        <w:t>(b) Causes sudden/slow loss of lives, injuries, and widespread damage to property and environment</w:t>
      </w:r>
    </w:p>
    <w:p>
      <w:r>
        <w:t>(c) Results in only economic loss to businesses</w:t>
      </w:r>
    </w:p>
    <w:p>
      <w:r>
        <w:t>(d) Requires only temporary relocation</w:t>
      </w:r>
    </w:p>
    <w:p>
      <w:r>
        <w:t>Answer: b</w:t>
      </w:r>
    </w:p>
    <w:p>
      <w:r>
        <w:t>Solution: Under the Disaster Management Act, 2005, a disaster is defined as a catastrophic event causing loss of lives, injuries, and widespread damage to infrastructure and environment. Option C (economic loss only) ignores human casualties. Option A (rural only) is geographically discriminatory. Option D (temporary relocation) is too limited. Disaster = Deaths + Damage + Disruption on large scale.</w:t>
      </w:r>
    </w:p>
    <w:p>
      <w:r>
        <w:t>Positive Marks: 1</w:t>
      </w:r>
    </w:p>
    <w:p>
      <w:r>
        <w:t>Negative Marks: 0.33</w:t>
      </w:r>
    </w:p>
    <w:p>
      <w:r>
        <w:t>Question: What is the significance of recording exact TIME and DATE in medico-legal case documentation?</w:t>
      </w:r>
    </w:p>
    <w:p>
      <w:r>
        <w:t>(a) It is only important if the patient requests it</w:t>
      </w:r>
    </w:p>
    <w:p>
      <w:r>
        <w:t>(b) It is merely routine hospital procedure with no legal importance</w:t>
      </w:r>
    </w:p>
    <w:p>
      <w:r>
        <w:t>(c) It helps establish the timeline of events and can determine the cause and sequence of injuries</w:t>
      </w:r>
    </w:p>
    <w:p>
      <w:r>
        <w:t>(d) It is required only for insurance billing purposes</w:t>
      </w:r>
    </w:p>
    <w:p>
      <w:r>
        <w:t>Answer: c</w:t>
      </w:r>
    </w:p>
    <w:p>
      <w:r>
        <w:t>Solution: Precise timing establishes event sequences, helps determine injury causation, and proves contemporaneous documentation. Option B underestimates legal value. Option D is billing-related, not medico-legal. Option A ignores mandatory nature. Accurate timing can differentiate between injuries inflicted at different times and help reconstruct events. This is crucial in establishing sequences in cases of assault or accidents.</w:t>
      </w:r>
    </w:p>
    <w:p>
      <w:r>
        <w:t>Positive Marks: 1</w:t>
      </w:r>
    </w:p>
    <w:p>
      <w:r>
        <w:t>Negative Marks: 0.33</w:t>
      </w:r>
    </w:p>
    <w:p>
      <w:r>
        <w:t>Question: In a murder case, a victim with a fatal stab wound whispers to a nurse, 'The person in the red shirt stabbed me.' The victim dies 10 minutes later without providing further information. What legal status does this statement hold?</w:t>
      </w:r>
    </w:p>
    <w:p>
      <w:r>
        <w:t>(a) It is admissible as a dying declaration under Section 32 of IEA</w:t>
      </w:r>
    </w:p>
    <w:p>
      <w:r>
        <w:t>(b) It is admissible only if the victim gave it on oath</w:t>
      </w:r>
    </w:p>
    <w:p>
      <w:r>
        <w:t>(c) It is inadmissible because it is hearsay</w:t>
      </w:r>
    </w:p>
    <w:p>
      <w:r>
        <w:t>(d) It is inadmissible because the victim died before trial</w:t>
      </w:r>
    </w:p>
    <w:p>
      <w:r>
        <w:t>Answer: a</w:t>
      </w:r>
    </w:p>
    <w:p>
      <w:r>
        <w:t>Solution: This is a classic dying declaration qualifying under Section 32 of the Indian Evidence Act. The victim: (1) believed death was imminent due to a fatal injury, (2) made a statement about the circumstances/cause of that death, and (3) actually died. Dying declarations are exceptions to the hearsay rule specifically because the declarant's belief in imminent death provides circumstantial guarantee of reliability. Option c incorrectly applies the hearsay rule without its exception. Option b is wrong—oath is not required for dying declarations. Option d misunderstands that dying declarations work precisely when the person dies. This principle is crucial for forensic nursing testimony in homicide and assault cases.</w:t>
      </w:r>
    </w:p>
    <w:p>
      <w:r>
        <w:t>Positive Marks: 1</w:t>
      </w:r>
    </w:p>
    <w:p>
      <w:r>
        <w:t>Negative Marks: 0.33</w:t>
      </w:r>
    </w:p>
    <w:p>
      <w:r>
        <w:t>Question: What are the mandatory provisions for documenting injuries in cases of domestic violence according to nursing standards?</w:t>
      </w:r>
    </w:p>
    <w:p>
      <w:r>
        <w:t>(a) Verbal reporting to physician only</w:t>
      </w:r>
    </w:p>
    <w:p>
      <w:r>
        <w:t>(b) Documentation only in psychological assessment</w:t>
      </w:r>
    </w:p>
    <w:p>
      <w:r>
        <w:t>(c) Detailed documentation of all injuries with photographs if possible, body maps, patient's own account, and separate notes from examining nurse</w:t>
      </w:r>
    </w:p>
    <w:p>
      <w:r>
        <w:t>(d) Document only visible injuries</w:t>
      </w:r>
    </w:p>
    <w:p>
      <w:r>
        <w:t>Answer: c</w:t>
      </w:r>
    </w:p>
    <w:p>
      <w:r>
        <w:t>Solution: Forensic nursing standards require comprehensive documentation including: detailed injury descriptions, body mapping, photographs (with consent), victim's statements, and separate nursing notes. This evidence supports legal proceedings and ensures admissibility. Option (d) misses non-visible injuries. Option (a) lacks written evidence. Option (b) is incomplete. Key: Meticulous documentation is forensic evidence and supports victim protection.</w:t>
      </w:r>
    </w:p>
    <w:p>
      <w:r>
        <w:t>Positive Marks: 1</w:t>
      </w:r>
    </w:p>
    <w:p>
      <w:r>
        <w:t>Negative Marks: 0.33</w:t>
      </w:r>
    </w:p>
    <w:p>
      <w:r>
        <w:t>Question: What is the primary objective of the Clinical Establishments (Registration) Act, 1970?</w:t>
      </w:r>
    </w:p>
    <w:p>
      <w:r>
        <w:t>(a) To regulate medical education in India</w:t>
      </w:r>
    </w:p>
    <w:p>
      <w:r>
        <w:t>(b) To regulate and register clinical establishments and ensure quality healthcare</w:t>
      </w:r>
    </w:p>
    <w:p>
      <w:r>
        <w:t>(c) To control pharmaceutical manufacturing</w:t>
      </w:r>
    </w:p>
    <w:p>
      <w:r>
        <w:t>(d) To monitor nursing colleges only</w:t>
      </w:r>
    </w:p>
    <w:p>
      <w:r>
        <w:t>Answer: b</w:t>
      </w:r>
    </w:p>
    <w:p>
      <w:r>
        <w:t>Solution: The Clinical Establishments Act aims to regulate and register clinical establishments (hospitals, clinics, nursing homes) to ensure proper standards and quality of healthcare services. Option a relates to medical education (separate acts); c relates to pharmaceutical regulation; d is too narrow. This act applies to all clinical establishments including nursing homes where nurses work.</w:t>
      </w:r>
    </w:p>
    <w:p>
      <w:r>
        <w:t>Positive Marks: 1</w:t>
      </w:r>
    </w:p>
    <w:p>
      <w:r>
        <w:t>Negative Marks: 0.33</w:t>
      </w:r>
    </w:p>
    <w:p>
      <w:r>
        <w:t>Question: How can distinguishing an ante-mortem from a post-mortem injury be challenging in forensic examination?</w:t>
      </w:r>
    </w:p>
    <w:p>
      <w:r>
        <w:t>(a) Post-mortem injuries always show blood at the wound site</w:t>
      </w:r>
    </w:p>
    <w:p>
      <w:r>
        <w:t>(b) Ante-mortem injuries show tissue reaction and inflammation; post-mortem injuries show no bleeding or tissue response</w:t>
      </w:r>
    </w:p>
    <w:p>
      <w:r>
        <w:t>(c) Post-mortem injuries appear fresher and have defined margins</w:t>
      </w:r>
    </w:p>
    <w:p>
      <w:r>
        <w:t>(d) Ante-mortem and post-mortem injuries never bleed, making differentiation impossible</w:t>
      </w:r>
    </w:p>
    <w:p>
      <w:r>
        <w:t>Answer: b</w:t>
      </w:r>
    </w:p>
    <w:p>
      <w:r>
        <w:t>Solution: Ante-mortem injuries show hemorrhage, inflammatory cell infiltration, and tissue healing response due to ongoing circulation; post-mortem injuries show no bleeding or tissue reaction due to absent circulation. Option A is incorrect (post-mortem wounds don't bleed). Option C is reversed (post-mortem injuries appear poorly defined). Option D is false (ante-mortem injuries bleed). This distinction is crucial in forensic nursing for determining if injuries contributed to death or occurred after death.</w:t>
      </w:r>
    </w:p>
    <w:p>
      <w:r>
        <w:t>Positive Marks: 1</w:t>
      </w:r>
    </w:p>
    <w:p>
      <w:r>
        <w:t>Negative Marks: 0.33</w:t>
      </w:r>
    </w:p>
    <w:p>
      <w:r>
        <w:t>Question: A nurse administers the wrong medication due to inadequate labeling on the syringe. The patient files a complaint under the Consumer Protection Act. Which remedy can the consumer seek?</w:t>
      </w:r>
    </w:p>
    <w:p>
      <w:r>
        <w:t>(a) Criminal prosecution of the nurse</w:t>
      </w:r>
    </w:p>
    <w:p>
      <w:r>
        <w:t>(b) Compensation for injury, apology, and removal of deficiency</w:t>
      </w:r>
    </w:p>
    <w:p>
      <w:r>
        <w:t>(c) Replacement of the nurse</w:t>
      </w:r>
    </w:p>
    <w:p>
      <w:r>
        <w:t>(d) Only written apology from the hospital</w:t>
      </w:r>
    </w:p>
    <w:p>
      <w:r>
        <w:t>Answer: b</w:t>
      </w:r>
    </w:p>
    <w:p>
      <w:r>
        <w:t>Solution: Under the Consumer Protection Act, 2019, the consumer (patient) can seek remedies including compensation for injury/damage, apology from the service provider, and removal or correction of the deficiency. The Act empowers consumer commissions to grant monetary compensation and non-monetary relief. Option C (replacement) is not a statutory remedy, C is too limited, and D (criminal prosecution) is outside the consumer law framework—though it may be pursued separately under criminal law. The Act allows for comprehensive compensation packages.</w:t>
      </w:r>
    </w:p>
    <w:p>
      <w:r>
        <w:t>Positive Marks: 1</w:t>
      </w:r>
    </w:p>
    <w:p>
      <w:r>
        <w:t>Negative Marks: 0.33</w:t>
      </w:r>
    </w:p>
    <w:p>
      <w:r>
        <w:t>Question: The medico-legal identification of a newborn includes</w:t>
      </w:r>
    </w:p>
    <w:p>
      <w:r>
        <w:t>(a) Only name</w:t>
      </w:r>
    </w:p>
    <w:p>
      <w:r>
        <w:t>(b) Only length</w:t>
      </w:r>
    </w:p>
    <w:p>
      <w:r>
        <w:t>(c) Only weight</w:t>
      </w:r>
    </w:p>
    <w:p>
      <w:r>
        <w:t>(d) Umbilical cord condition and birth marks</w:t>
      </w:r>
    </w:p>
    <w:p>
      <w:r>
        <w:t>Answer: d</w:t>
      </w:r>
    </w:p>
    <w:p>
      <w:r>
        <w:t>Solution: Newborns are identified by the cord, fontanelles, birthmarks, and other neonatal features.</w:t>
      </w:r>
    </w:p>
    <w:p>
      <w:r>
        <w:t>Positive Marks: 1</w:t>
      </w:r>
    </w:p>
    <w:p>
      <w:r>
        <w:t>Negative Marks: 0.33</w:t>
      </w:r>
    </w:p>
    <w:p>
      <w:r>
        <w:t>Question: According to the 2002 amendment to the MTP Act, when assessing 'grave injury to maternal health,' the doctor must consider:</w:t>
      </w:r>
    </w:p>
    <w:p>
      <w:r>
        <w:t>(a) Only the number of children already born</w:t>
      </w:r>
    </w:p>
    <w:p>
      <w:r>
        <w:t>(b) Medical factors only</w:t>
      </w:r>
    </w:p>
    <w:p>
      <w:r>
        <w:t>(c) Physical, mental, emotional, and social circumstances</w:t>
      </w:r>
    </w:p>
    <w:p>
      <w:r>
        <w:t>(d) Age and economic circumstances only</w:t>
      </w:r>
    </w:p>
    <w:p>
      <w:r>
        <w:t>Answer: c</w:t>
      </w:r>
    </w:p>
    <w:p>
      <w:r>
        <w:t>Solution: The 2002 amendment clarified that 'grave injury' encompasses physical, mental, emotional, and social circumstances of the pregnant woman. This holistic approach recognizes that health is not purely medical but includes psychological and social dimensions. Considering only medical factors (b), age alone (d), or parity (a) represent narrow interpretations rejected by the amended act. This expansion of considerations reflects modern understanding of comprehensive reproductive health and women's autonomy.</w:t>
      </w:r>
    </w:p>
    <w:p>
      <w:r>
        <w:t>Positive Marks: 1</w:t>
      </w:r>
    </w:p>
    <w:p>
      <w:r>
        <w:t>Negative Marks: 0.33</w:t>
      </w:r>
    </w:p>
    <w:p>
      <w:r>
        <w:t>Question: A 5-year-old child is brought to hospital with unexplained bruises in a linear pattern matching a stick or rod shape. This finding would constitute which type of abuse according to forensic nursing assessment?</w:t>
      </w:r>
    </w:p>
    <w:p>
      <w:r>
        <w:t>(a) Physical abuse evidenced by pattern injury</w:t>
      </w:r>
    </w:p>
    <w:p>
      <w:r>
        <w:t>(b) Emotional abuse without physical manifestation</w:t>
      </w:r>
    </w:p>
    <w:p>
      <w:r>
        <w:t>(c) Sexual abuse with trauma indicators</w:t>
      </w:r>
    </w:p>
    <w:p>
      <w:r>
        <w:t>(d) Nutritional neglect with secondary injury</w:t>
      </w:r>
    </w:p>
    <w:p>
      <w:r>
        <w:t>Answer: a</w:t>
      </w:r>
    </w:p>
    <w:p>
      <w:r>
        <w:t>Solution: Pattern injuries such as linear bruises matching objects (stick, rod, hand marks, loop marks from cords) are classic indicators of physical abuse. Emotional abuse does not leave such specific physical markings. Nutritional neglect presents differently with poor growth and pallor rather than patterned injuries. Sexual abuse leaves different physical and behavioral indicators. Documentation with precise measurements and photography is essential for legal evidence and prosecution. Key indicator: Pattern injuries = strong physical abuse evidence.</w:t>
      </w:r>
    </w:p>
    <w:p>
      <w:r>
        <w:t>Positive Marks: 1</w:t>
      </w:r>
    </w:p>
    <w:p>
      <w:r>
        <w:t>Negative Marks: 0.33</w:t>
      </w:r>
    </w:p>
    <w:p>
      <w:r>
        <w:t>Question: Which category of biomedical waste includes items like contaminated glassware, metallic implants, and chemical containers according to BMW Rules 2016?</w:t>
      </w:r>
    </w:p>
    <w:p>
      <w:r>
        <w:t>(a) White (Glassware)</w:t>
      </w:r>
    </w:p>
    <w:p>
      <w:r>
        <w:t>(b) Red (Non-infectious)</w:t>
      </w:r>
    </w:p>
    <w:p>
      <w:r>
        <w:t>(c) Black (General)</w:t>
      </w:r>
    </w:p>
    <w:p>
      <w:r>
        <w:t>(d) Yellow (Infectious)</w:t>
      </w:r>
    </w:p>
    <w:p>
      <w:r>
        <w:t>Answer: a</w:t>
      </w:r>
    </w:p>
    <w:p>
      <w:r>
        <w:t>Solution: White-colored containers are used for glassware (contaminated or broken), metallic implants, and sharps. Yellow is infectious, red is non-infectious non-hazardous, and black is general waste. White waste requires segregation and specific handling to prevent injuries and allow safe recycling or disposal of metallic components.</w:t>
      </w:r>
    </w:p>
    <w:p>
      <w:r>
        <w:t>Positive Marks: 1</w:t>
      </w:r>
    </w:p>
    <w:p>
      <w:r>
        <w:t>Negative Marks: 0.33</w:t>
      </w:r>
    </w:p>
    <w:p>
      <w:r>
        <w:t>Question: A victim is brought with a compound fracture wound exposing bone. What is the MOST significant medico-legal implication requiring special documentation?</w:t>
      </w:r>
    </w:p>
    <w:p>
      <w:r>
        <w:t>(a) Minor injury requiring observation only</w:t>
      </w:r>
    </w:p>
    <w:p>
      <w:r>
        <w:t>(b) Simple fracture requiring routine treatment</w:t>
      </w:r>
    </w:p>
    <w:p>
      <w:r>
        <w:t>(c) Soft tissue injury without significance</w:t>
      </w:r>
    </w:p>
    <w:p>
      <w:r>
        <w:t>(d) Gravest category injury with permanent disability potential; requires detailed assessment of bone exposure, contamination risk, and likelihood of permanent impairment for legal classification</w:t>
      </w:r>
    </w:p>
    <w:p>
      <w:r>
        <w:t>Answer: d</w:t>
      </w:r>
    </w:p>
    <w:p>
      <w:r>
        <w:t>Solution: Compound (open) fractures exposing bone meet IPC Section 320 criteria as grievous injuries due to high permanent disability potential, infection risk, and functional impairment likelihood. Detailed documentation of bone exposure, contamination status, vascular/nerve integrity is medico-legally crucial. Options b, c, and d underestimate the severity and legal significance of exposed bone injuries.</w:t>
      </w:r>
    </w:p>
    <w:p>
      <w:r>
        <w:t>Positive Marks: 1</w:t>
      </w:r>
    </w:p>
    <w:p>
      <w:r>
        <w:t>Negative Marks: 0.33</w:t>
      </w:r>
    </w:p>
    <w:p>
      <w:r>
        <w:t>Question: The National Disaster Management Authority (NDMA) was established under the Disaster Management Act, 2005. Its primary function is:</w:t>
      </w:r>
    </w:p>
    <w:p>
      <w:r>
        <w:t>(a) Construction of relief shelters</w:t>
      </w:r>
    </w:p>
    <w:p>
      <w:r>
        <w:t>(b) Relief distribution only to disaster victims</w:t>
      </w:r>
    </w:p>
    <w:p>
      <w:r>
        <w:t>(c) Policy formulation, coordination, and disaster management framework development</w:t>
      </w:r>
    </w:p>
    <w:p>
      <w:r>
        <w:t>(d) Medical treatment of disaster casualties exclusively</w:t>
      </w:r>
    </w:p>
    <w:p>
      <w:r>
        <w:t>Answer: c</w:t>
      </w:r>
    </w:p>
    <w:p>
      <w:r>
        <w:t>Solution: NDMA's mandates include formulating national policies, promoting best practices, and ensuring coordination among agencies for disaster management. Option B (relief distribution) is an operational function of district authorities, not NDMA. Options C and D are specific implementation tasks, not NDMA's core function. NDMA is strategic, not operational; formulation over distribution.</w:t>
      </w:r>
    </w:p>
    <w:p>
      <w:r>
        <w:t>Positive Marks: 1</w:t>
      </w:r>
    </w:p>
    <w:p>
      <w:r>
        <w:t>Negative Marks: 0.33</w:t>
      </w:r>
    </w:p>
    <w:p>
      <w:r>
        <w:t>Question: In a case of alleged physical assault documented as medico-legal, what should the documentation focus on?</w:t>
      </w:r>
    </w:p>
    <w:p>
      <w:r>
        <w:t>(a) Objective physical findings, injuries consistent with the history, absence of injuries, and any inconsistencies between history and findings</w:t>
      </w:r>
    </w:p>
    <w:p>
      <w:r>
        <w:t>(b) The victim's narrative of events without verification</w:t>
      </w:r>
    </w:p>
    <w:p>
      <w:r>
        <w:t>(c) Only visible external injuries, ignoring internal injuries</w:t>
      </w:r>
    </w:p>
    <w:p>
      <w:r>
        <w:t>(d) The identity of alleged perpetrators and speculation about motive</w:t>
      </w:r>
    </w:p>
    <w:p>
      <w:r>
        <w:t>Answer: a</w:t>
      </w:r>
    </w:p>
    <w:p>
      <w:r>
        <w:t>Solution: Documentation must focus on objective findings, correlations between history and injuries, absence of injuries, and any discrepancies—avoiding speculation about perpetrators or motives. Option B lacks objectivity. Option C misses internal injuries. Option D steps into investigative territory inappropriate for clinical staff. The nurse documents what is observed objectively without judgment. Discrepancies between history and findings are significant for investigation but must be documented factually, not interpreted.</w:t>
      </w:r>
    </w:p>
    <w:p>
      <w:r>
        <w:t>Positive Marks: 1</w:t>
      </w:r>
    </w:p>
    <w:p>
      <w:r>
        <w:t>Negative Marks: 0.33</w:t>
      </w:r>
    </w:p>
    <w:p>
      <w:r>
        <w:t>Question: Under the Clinical Establishments Act, non-compliance with registration requirements can result in which penalty?</w:t>
      </w:r>
    </w:p>
    <w:p>
      <w:r>
        <w:t>(a) Automatic license renewal without scrutiny</w:t>
      </w:r>
    </w:p>
    <w:p>
      <w:r>
        <w:t>(b) Warning letter only</w:t>
      </w:r>
    </w:p>
    <w:p>
      <w:r>
        <w:t>(c) Suspension of RTI access only</w:t>
      </w:r>
    </w:p>
    <w:p>
      <w:r>
        <w:t>(d) Fine and/or imprisonment as per prescribed provisions</w:t>
      </w:r>
    </w:p>
    <w:p>
      <w:r>
        <w:t>Answer: d</w:t>
      </w:r>
    </w:p>
    <w:p>
      <w:r>
        <w:t>Solution: Non-compliance with Clinical Establishments Act registration can result in fines and/or imprisonment under prescribed sections. Option b is too lenient; c is incorrect (renewal requires compliance); d is not a provision. Penalties vary from Rs. 500 to Rs. 1000 initially, with enhanced penalties for repeat violations. Compliance ensures accountability and patient safety.</w:t>
      </w:r>
    </w:p>
    <w:p>
      <w:r>
        <w:t>Positive Marks: 1</w:t>
      </w:r>
    </w:p>
    <w:p>
      <w:r>
        <w:t>Negative Marks: 0.33</w:t>
      </w:r>
    </w:p>
    <w:p>
      <w:r>
        <w:t>Question: Fingerprint identification is based on the principle that</w:t>
      </w:r>
    </w:p>
    <w:p>
      <w:r>
        <w:t>(a) Identical twins share prints</w:t>
      </w:r>
    </w:p>
    <w:p>
      <w:r>
        <w:t>(b) Fingerprints change with age</w:t>
      </w:r>
    </w:p>
    <w:p>
      <w:r>
        <w:t>(c) Prints are not permanent</w:t>
      </w:r>
    </w:p>
    <w:p>
      <w:r>
        <w:t>(d) No two persons have identical fingerprints</w:t>
      </w:r>
    </w:p>
    <w:p>
      <w:r>
        <w:t>Answer: d</w:t>
      </w:r>
    </w:p>
    <w:p>
      <w:r>
        <w:t>Solution: Fingerprints are unique and permanent, making them a gold standard for identification.</w:t>
      </w:r>
    </w:p>
    <w:p>
      <w:r>
        <w:t>Positive Marks: 1</w:t>
      </w:r>
    </w:p>
    <w:p>
      <w:r>
        <w:t>Negative Marks: 0.33</w:t>
      </w:r>
    </w:p>
    <w:p>
      <w:r>
        <w:t>Question: Chemical waste and pharmaceutical waste in biomedical category should be stored in containers made of which material?</w:t>
      </w:r>
    </w:p>
    <w:p>
      <w:r>
        <w:t>(a) Transparent plastic</w:t>
      </w:r>
    </w:p>
    <w:p>
      <w:r>
        <w:t>(b) Metal containers only</w:t>
      </w:r>
    </w:p>
    <w:p>
      <w:r>
        <w:t>(c) Colored plastic bags</w:t>
      </w:r>
    </w:p>
    <w:p>
      <w:r>
        <w:t>(d) Glass bottles or plastic containers</w:t>
      </w:r>
    </w:p>
    <w:p>
      <w:r>
        <w:t>Answer: d</w:t>
      </w:r>
    </w:p>
    <w:p>
      <w:r>
        <w:t>Solution: Chemical and pharmaceutical waste must be stored in rigid glass bottles or dedicated plastic containers to prevent leakage and chemical reactions. Flexible plastic bags are unsuitable as chemicals may corrode or penetrate them. Proper containment is essential to prevent environmental contamination and ensure staff safety during transport and disposal.</w:t>
      </w:r>
    </w:p>
    <w:p>
      <w:r>
        <w:t>Positive Marks: 1</w:t>
      </w:r>
    </w:p>
    <w:p>
      <w:r>
        <w:t>Negative Marks: 0.33</w:t>
      </w:r>
    </w:p>
    <w:p>
      <w:r>
        <w:t>Question: What is the PRIMARY medico-legal purpose of documenting wound characteristics in forensic nursing?</w:t>
      </w:r>
    </w:p>
    <w:p>
      <w:r>
        <w:t>(a) To identify the exact weapon used with 100% accuracy</w:t>
      </w:r>
    </w:p>
    <w:p>
      <w:r>
        <w:t>(b) To establish causation, mechanism of injury, and medicolegal liability</w:t>
      </w:r>
    </w:p>
    <w:p>
      <w:r>
        <w:t>(c) To determine the victim's pain perception</w:t>
      </w:r>
    </w:p>
    <w:p>
      <w:r>
        <w:t>(d) To calculate compensation amounts</w:t>
      </w:r>
    </w:p>
    <w:p>
      <w:r>
        <w:t>Answer: b</w:t>
      </w:r>
    </w:p>
    <w:p>
      <w:r>
        <w:t>Solution: Meticulous documentation of wound size, shape, depth, edges, and location forms the basis for medico-legal interpretation. This helps establish the mechanism and manner of injury, assess causation, and support legal proceedings. Option c relates to subjective pain, not forensic assessment. Option d involves legal experts, not nursing documentation. Option a is incorrect because while wound characteristics suggest weapon type, absolute identification is rarely certain.</w:t>
      </w:r>
    </w:p>
    <w:p>
      <w:r>
        <w:t>Positive Marks: 1</w:t>
      </w:r>
    </w:p>
    <w:p>
      <w:r>
        <w:t>Negative Marks: 0.33</w:t>
      </w:r>
    </w:p>
    <w:p>
      <w:r>
        <w:t>Question: Which information MUST be included when documenting a medico-legal case?</w:t>
      </w:r>
    </w:p>
    <w:p>
      <w:r>
        <w:t>(a) Information as per the patient's preference</w:t>
      </w:r>
    </w:p>
    <w:p>
      <w:r>
        <w:t>(b) General observations without specific measurements</w:t>
      </w:r>
    </w:p>
    <w:p>
      <w:r>
        <w:t>(c) Date, time of incident, detailed description of injury/event, and identity of examining personnel</w:t>
      </w:r>
    </w:p>
    <w:p>
      <w:r>
        <w:t>(d) Only the patient's name and admission number</w:t>
      </w:r>
    </w:p>
    <w:p>
      <w:r>
        <w:t>Answer: c</w:t>
      </w:r>
    </w:p>
    <w:p>
      <w:r>
        <w:t>Solution: Medico-legal documentation requires precise details: date, time, location, detailed description of injuries/findings, measurements, photographs when applicable, and signatures of examining personnel. Option D lacks essential details. Option B is too vague for legal proceedings. Option A prioritizes comfort over accuracy. Key: Documentation must be objective, precise, and independently verifiable.</w:t>
      </w:r>
    </w:p>
    <w:p>
      <w:r>
        <w:t>Positive Marks: 1</w:t>
      </w:r>
    </w:p>
    <w:p>
      <w:r>
        <w:t>Negative Marks: 0.33</w:t>
      </w:r>
    </w:p>
    <w:p>
      <w:r>
        <w:t>Question: A nursing home is required to register under the Clinical Establishments Act. Which document is essential for registration?</w:t>
      </w:r>
    </w:p>
    <w:p>
      <w:r>
        <w:t>(a) Only the building construction plan</w:t>
      </w:r>
    </w:p>
    <w:p>
      <w:r>
        <w:t>(b) Patient admission list from past 5 years</w:t>
      </w:r>
    </w:p>
    <w:p>
      <w:r>
        <w:t>(c) Municipal tax receipt only</w:t>
      </w:r>
    </w:p>
    <w:p>
      <w:r>
        <w:t>(d) Proof of employment of permanent staff including nursing personnel with qualifications</w:t>
      </w:r>
    </w:p>
    <w:p>
      <w:r>
        <w:t>Answer: d</w:t>
      </w:r>
    </w:p>
    <w:p>
      <w:r>
        <w:t>Solution: Clinical Establishment registration requires proof of qualified staff including nursing personnel, equipment, infrastructure, and operating procedures. Building plans alone (option a), tax receipts alone (option c), or past records (option b) are insufficient. Proper staffing with documented nursing qualifications is mandatory for establishment registration and compliance.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