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Red-colored segregated biomedical waste, after treatment, can be disposed of by which method?</w:t>
      </w:r>
    </w:p>
    <w:p>
      <w:r>
        <w:t>(a) Landfill in open areas</w:t>
      </w:r>
    </w:p>
    <w:p>
      <w:r>
        <w:t>(b) Incineration only</w:t>
      </w:r>
    </w:p>
    <w:p>
      <w:r>
        <w:t>(c) Recycling as raw material</w:t>
      </w:r>
    </w:p>
    <w:p>
      <w:r>
        <w:t>(d) Direct environmental discharge</w:t>
      </w:r>
    </w:p>
    <w:p>
      <w:r>
        <w:t>Answer: c</w:t>
      </w:r>
    </w:p>
    <w:p>
      <w:r>
        <w:t>Solution: Red waste (non-infectious) after treatment can be recycled or disposed of in municipal landfill following local regulations. Red waste requires lower level treatment compared to yellow waste. It includes items like plastic, cardboard from non-hazardous areas. Recycling reduces environmental burden while maintaining safety standards.</w:t>
      </w:r>
    </w:p>
    <w:p>
      <w:r>
        <w:t>Positive Marks: 1</w:t>
      </w:r>
    </w:p>
    <w:p>
      <w:r>
        <w:t>Negative Marks: 0.33</w:t>
      </w:r>
    </w:p>
    <w:p>
      <w:r>
        <w:t>Question: During an epidemic declaration, what is the legal status of vaccination programs in the affected area?</w:t>
      </w:r>
    </w:p>
    <w:p>
      <w:r>
        <w:t>(a) Deferred until the epidemic subsides</w:t>
      </w:r>
    </w:p>
    <w:p>
      <w:r>
        <w:t>(b) Mandatory for identified risk groups as per government directives</w:t>
      </w:r>
    </w:p>
    <w:p>
      <w:r>
        <w:t>(c) Optional and available only to those who seek it</w:t>
      </w:r>
    </w:p>
    <w:p>
      <w:r>
        <w:t>(d) Completely voluntary with no enforcement</w:t>
      </w:r>
    </w:p>
    <w:p>
      <w:r>
        <w:t>Answer: b</w:t>
      </w:r>
    </w:p>
    <w:p>
      <w:r>
        <w:t>Solution: Once an epidemic is officially declared under the Epidemic Diseases Act, Section 2 directives can make vaccination mandatory for specific population groups to achieve rapid community protection. Option D (voluntary) contradicts epidemic control principles. Option C (optional) is too permissive. Option A (deferred) defeats the preventive purpose. Mass vaccination during epidemics is a key control measure.</w:t>
      </w:r>
    </w:p>
    <w:p>
      <w:r>
        <w:t>Positive Marks: 1</w:t>
      </w:r>
    </w:p>
    <w:p>
      <w:r>
        <w:t>Negative Marks: 0.33</w:t>
      </w:r>
    </w:p>
    <w:p>
      <w:r>
        <w:t>Question: According to the MTP Act, medical termination of pregnancy should be performed at:</w:t>
      </w:r>
    </w:p>
    <w:p>
      <w:r>
        <w:t>(a) Registered allopathic hospitals, nursing homes, or clinics</w:t>
      </w:r>
    </w:p>
    <w:p>
      <w:r>
        <w:t>(b) Any private institution certified by state</w:t>
      </w:r>
    </w:p>
    <w:p>
      <w:r>
        <w:t>(c) Any clinic with basic equipment</w:t>
      </w:r>
    </w:p>
    <w:p>
      <w:r>
        <w:t>(d) Government hospitals only</w:t>
      </w:r>
    </w:p>
    <w:p>
      <w:r>
        <w:t>Answer: a</w:t>
      </w:r>
    </w:p>
    <w:p>
      <w:r>
        <w:t>Solution: Section 4 mandates that MTP shall only be performed in registered allopathic hospitals, nursing homes, or clinics run by or under the supervision of registered medical practitioners. This requirement ensures appropriate infrastructure, sterilization standards, and emergency backup. Unregistered facilities, government-only settings, or any private institution without proper registration do not meet statutory requirements. Registration with appropriate authorities is the key criterion determining legality.</w:t>
      </w:r>
    </w:p>
    <w:p>
      <w:r>
        <w:t>Positive Marks: 1</w:t>
      </w:r>
    </w:p>
    <w:p>
      <w:r>
        <w:t>Negative Marks: 0.33</w:t>
      </w:r>
    </w:p>
    <w:p>
      <w:r>
        <w:t>Question: Under what circumstances can a medical professional's medical registration be permanently cancelled for PC-PNDT Act violation?</w:t>
      </w:r>
    </w:p>
    <w:p>
      <w:r>
        <w:t>(a) On any single offense</w:t>
      </w:r>
    </w:p>
    <w:p>
      <w:r>
        <w:t>(b) Permanent cancellation is never possible under this Act</w:t>
      </w:r>
    </w:p>
    <w:p>
      <w:r>
        <w:t>(c) Only after multiple repeat violations</w:t>
      </w:r>
    </w:p>
    <w:p>
      <w:r>
        <w:t>(d) For particularly grave or heinous violations affecting multiple victims</w:t>
      </w:r>
    </w:p>
    <w:p>
      <w:r>
        <w:t>Answer: d</w:t>
      </w:r>
    </w:p>
    <w:p>
      <w:r>
        <w:t>Solution: A medical professional's registration can be permanently cancelled if the violation is particularly grave and heinous, especially when affecting multiple victims or indicating organized sex-determination practices. Option (a) is too harsh for single offense. Option (c) doesn't capture the severity consideration. Option (b) is factually incorrect as permanent cancellation is possible. This provision targets serious violators running systematic sex-selection rackets, not minor infractions. Permanence depends on gravity of violation.</w:t>
      </w:r>
    </w:p>
    <w:p>
      <w:r>
        <w:t>Positive Marks: 1</w:t>
      </w:r>
    </w:p>
    <w:p>
      <w:r>
        <w:t>Negative Marks: 0.33</w:t>
      </w:r>
    </w:p>
    <w:p>
      <w:r>
        <w:t>Question: The right to life and liberty is guaranteed by which Article of the Indian Constitution?</w:t>
      </w:r>
    </w:p>
    <w:p>
      <w:r>
        <w:t>(a) Article 21</w:t>
      </w:r>
    </w:p>
    <w:p>
      <w:r>
        <w:t>(b) Article 32</w:t>
      </w:r>
    </w:p>
    <w:p>
      <w:r>
        <w:t>(c) Article 14</w:t>
      </w:r>
    </w:p>
    <w:p>
      <w:r>
        <w:t>(d) Article 19</w:t>
      </w:r>
    </w:p>
    <w:p>
      <w:r>
        <w:t>Answer: a</w:t>
      </w:r>
    </w:p>
    <w:p>
      <w:r>
        <w:t>Solution: Article 21 guarantees the right to life and personal liberty.</w:t>
      </w:r>
    </w:p>
    <w:p>
      <w:r>
        <w:t>Positive Marks: 1</w:t>
      </w:r>
    </w:p>
    <w:p>
      <w:r>
        <w:t>Negative Marks: 0.33</w:t>
      </w:r>
    </w:p>
    <w:p>
      <w:r>
        <w:t>Question: Living organ donation under the act can occur only between:</w:t>
      </w:r>
    </w:p>
    <w:p>
      <w:r>
        <w:t>(a) Any two individuals with compatible blood groups</w:t>
      </w:r>
    </w:p>
    <w:p>
      <w:r>
        <w:t>(b) Family members of the organ retrieval center staff</w:t>
      </w:r>
    </w:p>
    <w:p>
      <w:r>
        <w:t>(c) Near relatives or with specific authorization from the Transplant Committee</w:t>
      </w:r>
    </w:p>
    <w:p>
      <w:r>
        <w:t>(d) Registered donors only</w:t>
      </w:r>
    </w:p>
    <w:p>
      <w:r>
        <w:t>Answer: c</w:t>
      </w:r>
    </w:p>
    <w:p>
      <w:r>
        <w:t>Solution: Living organ donation is restricted to near relatives (spouse, children, parents, siblings) or others with authorization from the Authorization Committee to prevent organ commercialization. Option A (any compatible persons) would encourage trafficking; C (registered donors only) is too restrictive; D is irrelevant. The act prioritizes related donation to ensure ethical transplantation.</w:t>
      </w:r>
    </w:p>
    <w:p>
      <w:r>
        <w:t>Positive Marks: 1</w:t>
      </w:r>
    </w:p>
    <w:p>
      <w:r>
        <w:t>Negative Marks: 0.33</w:t>
      </w:r>
    </w:p>
    <w:p>
      <w:r>
        <w:t>Question: Under the RTI Act, which of the following is an absolute exemption that can never be disclosed?</w:t>
      </w:r>
    </w:p>
    <w:p>
      <w:r>
        <w:t>(a) Information affecting sovereignty or national defense</w:t>
      </w:r>
    </w:p>
    <w:p>
      <w:r>
        <w:t>(b) Information on patient treatment protocols</w:t>
      </w:r>
    </w:p>
    <w:p>
      <w:r>
        <w:t>(c) Information on hospital inspection reports</w:t>
      </w:r>
    </w:p>
    <w:p>
      <w:r>
        <w:t>(d) Information on staffing patterns in hospitals</w:t>
      </w:r>
    </w:p>
    <w:p>
      <w:r>
        <w:t>Answer: a</w:t>
      </w:r>
    </w:p>
    <w:p>
      <w:r>
        <w:t>Solution: Section 8 of RTI Act exempts information relating to national security, sovereignty, and defense on an absolute basis. All other exemptions are qualified and can be overridden if public interest outweighs harm. Options a, b, and d can be disclosed subject to conditions. National security is absolute exemption.</w:t>
      </w:r>
    </w:p>
    <w:p>
      <w:r>
        <w:t>Positive Marks: 1</w:t>
      </w:r>
    </w:p>
    <w:p>
      <w:r>
        <w:t>Negative Marks: 0.33</w:t>
      </w:r>
    </w:p>
    <w:p>
      <w:r>
        <w:t>Question: As per Juvenile Justice (Care and Protection of Children) Act, 2015, a child in conflict with law is defined as below which age?</w:t>
      </w:r>
    </w:p>
    <w:p>
      <w:r>
        <w:t>(a) 16 years</w:t>
      </w:r>
    </w:p>
    <w:p>
      <w:r>
        <w:t>(b) 14 years</w:t>
      </w:r>
    </w:p>
    <w:p>
      <w:r>
        <w:t>(c) 18 years</w:t>
      </w:r>
    </w:p>
    <w:p>
      <w:r>
        <w:t>(d) 21 years</w:t>
      </w:r>
    </w:p>
    <w:p>
      <w:r>
        <w:t>Answer: c</w:t>
      </w:r>
    </w:p>
    <w:p>
      <w:r>
        <w:t>Solution: Under Juvenile Justice Act, 2015, a child in conflict with law is defined as any person below 18 years of age at the time of commission of offense. Option A (16 years) was relevant under old Act. Option D (21 years) is beyond juvenile definition. Option B (14 years) is not the upper age limit in current act. The Act applies up to 18 years, after which the person is tried as an adult. This is important to differentiate between various age-related provisions in juvenile law.</w:t>
      </w:r>
    </w:p>
    <w:p>
      <w:r>
        <w:t>Positive Marks: 1</w:t>
      </w:r>
    </w:p>
    <w:p>
      <w:r>
        <w:t>Negative Marks: 0.33</w:t>
      </w:r>
    </w:p>
    <w:p>
      <w:r>
        <w:t>Question: According to the Mental Health Care Act, 2017, what does 'mental illness' refer to?</w:t>
      </w:r>
    </w:p>
    <w:p>
      <w:r>
        <w:t>(a) Only severe psychotic disorders like schizophrenia</w:t>
      </w:r>
    </w:p>
    <w:p>
      <w:r>
        <w:t>(b) Only neurotic disorders and adjustment problems</w:t>
      </w:r>
    </w:p>
    <w:p>
      <w:r>
        <w:t>(c) Severe and moderate mental illnesses causing significant functional impairment</w:t>
      </w:r>
    </w:p>
    <w:p>
      <w:r>
        <w:t>(d) Temporary emotional disturbances due to stressful events</w:t>
      </w:r>
    </w:p>
    <w:p>
      <w:r>
        <w:t>Answer: c</w:t>
      </w:r>
    </w:p>
    <w:p>
      <w:r>
        <w:t>Solution: Mental illness is defined broadly to include severe and moderate mental illnesses affecting thoughts, mood, behavior, and functioning across a spectrum. It encompasses psychotic, mood, neurotic, and developmental disorders. Option a is too restrictive; option b excludes psychotic illnesses; option d excludes conditions beyond acute stress. The spectrum-based definition ensures comprehensive protection of diverse mental health conditions. Key concept: Inclusive, condition-diverse definition.</w:t>
      </w:r>
    </w:p>
    <w:p>
      <w:r>
        <w:t>Positive Marks: 1</w:t>
      </w:r>
    </w:p>
    <w:p>
      <w:r>
        <w:t>Negative Marks: 0.33</w:t>
      </w:r>
    </w:p>
    <w:p>
      <w:r>
        <w:t>Question: According to the Juvenile Justice Act, 2015, a 'child in conflict with law' is defined as:</w:t>
      </w:r>
    </w:p>
    <w:p>
      <w:r>
        <w:t>(a) Any child who has violated social norms or law at any age</w:t>
      </w:r>
    </w:p>
    <w:p>
      <w:r>
        <w:t>(b) A child who habitually resists parental authority and supervision</w:t>
      </w:r>
    </w:p>
    <w:p>
      <w:r>
        <w:t>(c) A child above 16 years of age who commits any criminal offense</w:t>
      </w:r>
    </w:p>
    <w:p>
      <w:r>
        <w:t>(d) A child who, at the time of committing the act, had not attained 18 years and is alleged to have committed an offense</w:t>
      </w:r>
    </w:p>
    <w:p>
      <w:r>
        <w:t>Answer: d</w:t>
      </w:r>
    </w:p>
    <w:p>
      <w:r>
        <w:t>Solution: JJ Act 2015 defines 'child in conflict with law' as one who has not attained 18 years at the time of alleged offense commission. Option a is too vague and unspecific. Option c incorrectly sets the age limit at 16 years instead of 18. Option b is not the legal definition as it conflates behavioral disobedience with legal status. The Act provides special protections for children below 18 years, reflecting developmental psychology principles. Key: Statutory definition = Under 18 years at time of offense.</w:t>
      </w:r>
    </w:p>
    <w:p>
      <w:r>
        <w:t>Positive Marks: 1</w:t>
      </w:r>
    </w:p>
    <w:p>
      <w:r>
        <w:t>Negative Marks: 0.33</w:t>
      </w:r>
    </w:p>
    <w:p>
      <w:r>
        <w:t>Question: Which authority is primarily responsible for hearing and disposing consumer complaints at the state level under the Consumer Protection Act, 2019?</w:t>
      </w:r>
    </w:p>
    <w:p>
      <w:r>
        <w:t>(a) State Health Authority</w:t>
      </w:r>
    </w:p>
    <w:p>
      <w:r>
        <w:t>(b) State Medical Council</w:t>
      </w:r>
    </w:p>
    <w:p>
      <w:r>
        <w:t>(c) State Consumer Disputes Redressal Commission</w:t>
      </w:r>
    </w:p>
    <w:p>
      <w:r>
        <w:t>(d) District Nursing Council</w:t>
      </w:r>
    </w:p>
    <w:p>
      <w:r>
        <w:t>Answer: c</w:t>
      </w:r>
    </w:p>
    <w:p>
      <w:r>
        <w:t>Solution: The State Consumer Disputes Redressal Commission is the designated authority under the Consumer Protection Act, 2019 to hear and dispose of consumer complaints at the state level. The Medical Council regulates professional conduct but doesn't handle consumer disputes, the Nursing Council doesn't have consumer complaint jurisdiction, and the Health Authority has administrative but not adjudicatory functions under the Act. The three-tier system includes District, State, and National Commissions.</w:t>
      </w:r>
    </w:p>
    <w:p>
      <w:r>
        <w:t>Positive Marks: 1</w:t>
      </w:r>
    </w:p>
    <w:p>
      <w:r>
        <w:t>Negative Marks: 0.33</w:t>
      </w:r>
    </w:p>
    <w:p>
      <w:r>
        <w:t>Question: According to Biomedical Waste Management Rules 2016, which color-coded bag is used for infectious waste including human anatomical waste and soiled waste?</w:t>
      </w:r>
    </w:p>
    <w:p>
      <w:r>
        <w:t>(a) Yellow bag</w:t>
      </w:r>
    </w:p>
    <w:p>
      <w:r>
        <w:t>(b) White bag</w:t>
      </w:r>
    </w:p>
    <w:p>
      <w:r>
        <w:t>(c) Red bag</w:t>
      </w:r>
    </w:p>
    <w:p>
      <w:r>
        <w:t>(d) Black bag</w:t>
      </w:r>
    </w:p>
    <w:p>
      <w:r>
        <w:t>Answer: a</w:t>
      </w:r>
    </w:p>
    <w:p>
      <w:r>
        <w:t>Solution: Yellow color-coded bags are designated for infectious waste (Category 1), including human anatomical waste, blood, body fluids, and soiled waste. Red is for non-hazardous waste, black for general non-biomedical waste, and white for glassware. Memory aid: Yellow represents infection/biohazard symbol color.</w:t>
      </w:r>
    </w:p>
    <w:p>
      <w:r>
        <w:t>Positive Marks: 1</w:t>
      </w:r>
    </w:p>
    <w:p>
      <w:r>
        <w:t>Negative Marks: 0.33</w:t>
      </w:r>
    </w:p>
    <w:p>
      <w:r>
        <w:t>Question: Under the Disaster Management Act, 2005, which is NOT a core component of disaster management?</w:t>
      </w:r>
    </w:p>
    <w:p>
      <w:r>
        <w:t>(a) Response and rehabilitation</w:t>
      </w:r>
    </w:p>
    <w:p>
      <w:r>
        <w:t>(b) Disaster mitigation and risk reduction</w:t>
      </w:r>
    </w:p>
    <w:p>
      <w:r>
        <w:t>(c) Individual personal asset accumulation and investment</w:t>
      </w:r>
    </w:p>
    <w:p>
      <w:r>
        <w:t>(d) Preparedness and capacity building</w:t>
      </w:r>
    </w:p>
    <w:p>
      <w:r>
        <w:t>Answer: c</w:t>
      </w:r>
    </w:p>
    <w:p>
      <w:r>
        <w:t>Solution: The Disaster Management Act focuses on prevention, mitigation, preparedness, response, and rehabilitation—not on individual wealth accumulation (Option C). Options B, C, and D are all core pillars of the Act. Personal asset management is outside the scope of disaster management legislation. Trick: DM Act = Defense against Disaster, not Development of personal assets.</w:t>
      </w:r>
    </w:p>
    <w:p>
      <w:r>
        <w:t>Positive Marks: 1</w:t>
      </w:r>
    </w:p>
    <w:p>
      <w:r>
        <w:t>Negative Marks: 0.33</w:t>
      </w:r>
    </w:p>
    <w:p>
      <w:r>
        <w:t>Question: A 16-year-old unmarried girl presents at 22 weeks gestation with an unwanted pregnancy. Under the 2021 MTP Amendment, termination can be performed with the opinion of:</w:t>
      </w:r>
    </w:p>
    <w:p>
      <w:r>
        <w:t>(a) One registered medical practitioner</w:t>
      </w:r>
    </w:p>
    <w:p>
      <w:r>
        <w:t>(b) Two registered medical practitioners</w:t>
      </w:r>
    </w:p>
    <w:p>
      <w:r>
        <w:t>(c) Parental consent plus one doctor</w:t>
      </w:r>
    </w:p>
    <w:p>
      <w:r>
        <w:t>(d) Three registered medical practitioners</w:t>
      </w:r>
    </w:p>
    <w:p>
      <w:r>
        <w:t>Answer: b</w:t>
      </w:r>
    </w:p>
    <w:p>
      <w:r>
        <w:t>Solution: Under the 2021 amendment, minors constitute a special category eligible for termination up to 24 weeks with TWO registered medical practitioners' opinion. While minors require additional protections through counseling and possibly guardian involvement, the statutory medical requirement remains two doctors' opinions for second-trimester termination. One doctor (a) is insufficient for 22 weeks; three doctors (d) are not stipulated; and replacing medical opinion with parental consent (c) contradicts statutory framework. Minors' reproductive autonomy is protected through proper medical evaluation.</w:t>
      </w:r>
    </w:p>
    <w:p>
      <w:r>
        <w:t>Positive Marks: 1</w:t>
      </w:r>
    </w:p>
    <w:p>
      <w:r>
        <w:t>Negative Marks: 0.33</w:t>
      </w:r>
    </w:p>
    <w:p>
      <w:r>
        <w:t>Question: What is the mandatory role of a genetic counselor before prescribing prenatal diagnostic procedures under PC-PNDT Act?</w:t>
      </w:r>
    </w:p>
    <w:p>
      <w:r>
        <w:t>(a) To determine the fetal sex and counsel accordingly</w:t>
      </w:r>
    </w:p>
    <w:p>
      <w:r>
        <w:t>(b) To provide informed written consent and counsel about procedure, risks, and alternatives</w:t>
      </w:r>
    </w:p>
    <w:p>
      <w:r>
        <w:t>(c) To perform the diagnostic procedure</w:t>
      </w:r>
    </w:p>
    <w:p>
      <w:r>
        <w:t>(d) To provide written consent on behalf of parents</w:t>
      </w:r>
    </w:p>
    <w:p>
      <w:r>
        <w:t>Answer: b</w:t>
      </w:r>
    </w:p>
    <w:p>
      <w:r>
        <w:t>Solution: A genetic counselor must provide informed written consent explaining the procedure, risks, benefits, and alternatives before any prenatal diagnostic technique is performed. This counseling is legally mandatory under PC-PNDT Act. Option (c) is performed by medical technician/radiologist, not counselor. Option (d) incorrectly suggests counselor gives consent on parents' behalf. Option (a) violates the Act's core principle. Counseling ensures informed decision-making and prevents coercive sex-determination.</w:t>
      </w:r>
    </w:p>
    <w:p>
      <w:r>
        <w:t>Positive Marks: 1</w:t>
      </w:r>
    </w:p>
    <w:p>
      <w:r>
        <w:t>Negative Marks: 0.33</w:t>
      </w:r>
    </w:p>
    <w:p>
      <w:r>
        <w:t>Question: The concept of 'right to health' means</w:t>
      </w:r>
    </w:p>
    <w:p>
      <w:r>
        <w:t>(a) Free treatment for officials only</w:t>
      </w:r>
    </w:p>
    <w:p>
      <w:r>
        <w:t>(b) Health only for the rich</w:t>
      </w:r>
    </w:p>
    <w:p>
      <w:r>
        <w:t>(c) Optional care</w:t>
      </w:r>
    </w:p>
    <w:p>
      <w:r>
        <w:t>(d) Access to the highest attainable standard of health</w:t>
      </w:r>
    </w:p>
    <w:p>
      <w:r>
        <w:t>Answer: d</w:t>
      </w:r>
    </w:p>
    <w:p>
      <w:r>
        <w:t>Solution: The right to health entitles everyone to healthcare and the conditions for health.</w:t>
      </w:r>
    </w:p>
    <w:p>
      <w:r>
        <w:t>Positive Marks: 1</w:t>
      </w:r>
    </w:p>
    <w:p>
      <w:r>
        <w:t>Negative Marks: 0.33</w:t>
      </w:r>
    </w:p>
    <w:p>
      <w:r>
        <w:t>Question: The Transplantation of Human Organs Act was significantly amended in which year to strengthen donor registration and reduce traffic?</w:t>
      </w:r>
    </w:p>
    <w:p>
      <w:r>
        <w:t>(a) 2011</w:t>
      </w:r>
    </w:p>
    <w:p>
      <w:r>
        <w:t>(b) 2014</w:t>
      </w:r>
    </w:p>
    <w:p>
      <w:r>
        <w:t>(c) 2008</w:t>
      </w:r>
    </w:p>
    <w:p>
      <w:r>
        <w:t>(d) 2005</w:t>
      </w:r>
    </w:p>
    <w:p>
      <w:r>
        <w:t>Answer: a</w:t>
      </w:r>
    </w:p>
    <w:p>
      <w:r>
        <w:t>Solution: The Transplantation of Human Organs Act was amended in 2011 to include provisions for national organ and tissue transplant registry, online registration of donors, and stricter anti-trafficking measures. Options A (2005), B (2008), and D (2014) are incorrect years. The 2011 amendment was crucial for modernizing India's transplant infrastructure.</w:t>
      </w:r>
    </w:p>
    <w:p>
      <w:r>
        <w:t>Positive Marks: 1</w:t>
      </w:r>
    </w:p>
    <w:p>
      <w:r>
        <w:t>Negative Marks: 0.33</w:t>
      </w:r>
    </w:p>
    <w:p>
      <w:r>
        <w:t>Question: Under the Right to Information Act, a public information officer must respond to an RTI application within how many days?</w:t>
      </w:r>
    </w:p>
    <w:p>
      <w:r>
        <w:t>(a) 45 days</w:t>
      </w:r>
    </w:p>
    <w:p>
      <w:r>
        <w:t>(b) 15 days</w:t>
      </w:r>
    </w:p>
    <w:p>
      <w:r>
        <w:t>(c) 30 days</w:t>
      </w:r>
    </w:p>
    <w:p>
      <w:r>
        <w:t>(d) 10 days</w:t>
      </w:r>
    </w:p>
    <w:p>
      <w:r>
        <w:t>Answer: c</w:t>
      </w:r>
    </w:p>
    <w:p>
      <w:r>
        <w:t>Solution: The Public Information Officer (PIO) has 30 days from the receipt of an RTI application to provide information or reject the application with reasons. This period can be extended by 20 additional days if voluminous or complex information is involved. Options a, b, and d are incorrect timeframes. Mnemonic: RTI-30 (standard response time).</w:t>
      </w:r>
    </w:p>
    <w:p>
      <w:r>
        <w:t>Positive Marks: 1</w:t>
      </w:r>
    </w:p>
    <w:p>
      <w:r>
        <w:t>Negative Marks: 0.33</w:t>
      </w:r>
    </w:p>
    <w:p>
      <w:r>
        <w:t>Question: Which legislation did the Mental Health Care Act, 2017 replace?</w:t>
      </w:r>
    </w:p>
    <w:p>
      <w:r>
        <w:t>(a) Mental Disorder Act, 1960</w:t>
      </w:r>
    </w:p>
    <w:p>
      <w:r>
        <w:t>(b) Mental Illness Regulation Act, 1975</w:t>
      </w:r>
    </w:p>
    <w:p>
      <w:r>
        <w:t>(c) Mental Health Act, 1982</w:t>
      </w:r>
    </w:p>
    <w:p>
      <w:r>
        <w:t>(d) Mental Health Act, 1965</w:t>
      </w:r>
    </w:p>
    <w:p>
      <w:r>
        <w:t>Answer: c</w:t>
      </w:r>
    </w:p>
    <w:p>
      <w:r>
        <w:t>Solution: The Mental Health Care Act, 2017 repealed and replaced the Mental Health Act of 1982, which was archaic with focus on institutionalization rather than rights and recovery. The 1982 Act had been in force for 35 years before being superseded by modern legislation. Options b, c, and d are either incorrect acts or non-existent legislation. The new Act represents significant reform aligned with international human rights standards. Historical fact: 1982 Act dominated for 35 years; 2017 Act represents paradigm shift.</w:t>
      </w:r>
    </w:p>
    <w:p>
      <w:r>
        <w:t>Positive Marks: 1</w:t>
      </w:r>
    </w:p>
    <w:p>
      <w:r>
        <w:t>Negative Marks: 0.33</w:t>
      </w:r>
    </w:p>
    <w:p>
      <w:r>
        <w:t>Question: Under the Consumer Protection Act, 2019, a 'consumer' in healthcare services is defined as a person who seeks or obtains any service for a consideration. Which of the following is NOT included in the definition of consumer?</w:t>
      </w:r>
    </w:p>
    <w:p>
      <w:r>
        <w:t>(a) A healthcare worker purchasing supplies for personal use</w:t>
      </w:r>
    </w:p>
    <w:p>
      <w:r>
        <w:t>(b) A person seeking diagnostic services at a laboratory</w:t>
      </w:r>
    </w:p>
    <w:p>
      <w:r>
        <w:t>(c) A patient receiving treatment at a private nursing home</w:t>
      </w:r>
    </w:p>
    <w:p>
      <w:r>
        <w:t>(d) A person availing rehabilitation services from a nursing facility</w:t>
      </w:r>
    </w:p>
    <w:p>
      <w:r>
        <w:t>Answer: a</w:t>
      </w:r>
    </w:p>
    <w:p>
      <w:r>
        <w:t>Solution: According to the Consumer Protection Act, 2019, a consumer is someone who seeks or obtains goods or services for personal consumption or use, not for resale or commercial purposes. A healthcare worker purchasing supplies for personal use may not qualify as a consumer in the healthcare context unless seeking personal healthcare. Options A, B, and D clearly represent persons seeking healthcare services. The act specifically distinguishes between consumers seeking services and those purchasing for professional/commercial purposes.</w:t>
      </w:r>
    </w:p>
    <w:p>
      <w:r>
        <w:t>Positive Marks: 1</w:t>
      </w:r>
    </w:p>
    <w:p>
      <w:r>
        <w:t>Negative Marks: 0.33</w:t>
      </w:r>
    </w:p>
    <w:p>
      <w:r>
        <w:t>Question: At what point should segregation of biomedical waste be initiated according to standard waste management protocols?</w:t>
      </w:r>
    </w:p>
    <w:p>
      <w:r>
        <w:t>(a) During transportation to dumping site</w:t>
      </w:r>
    </w:p>
    <w:p>
      <w:r>
        <w:t>(b) During incineration process</w:t>
      </w:r>
    </w:p>
    <w:p>
      <w:r>
        <w:t>(c) During final disposal</w:t>
      </w:r>
    </w:p>
    <w:p>
      <w:r>
        <w:t>(d) At the point of generation</w:t>
      </w:r>
    </w:p>
    <w:p>
      <w:r>
        <w:t>Answer: d</w:t>
      </w:r>
    </w:p>
    <w:p>
      <w:r>
        <w:t>Solution: Segregation must occur at the point of generation (bedside, laboratory, operation theater) to prevent mixing and contamination. Early segregation ensures proper handling, reduces health hazards to staff, improves treatment efficiency, and reduces disposal costs. Delayed segregation increases occupational exposure risk and is against protocol.</w:t>
      </w:r>
    </w:p>
    <w:p>
      <w:r>
        <w:t>Positive Marks: 1</w:t>
      </w:r>
    </w:p>
    <w:p>
      <w:r>
        <w:t>Negative Marks: 0.33</w:t>
      </w:r>
    </w:p>
    <w:p>
      <w:r>
        <w:t>Question: Under the Disaster Management Act, 2005, State Disaster Management Authorities are responsible for:</w:t>
      </w:r>
    </w:p>
    <w:p>
      <w:r>
        <w:t>(a) National policy formulation exclusively</w:t>
      </w:r>
    </w:p>
    <w:p>
      <w:r>
        <w:t>(b) International disaster coordination</w:t>
      </w:r>
    </w:p>
    <w:p>
      <w:r>
        <w:t>(c) Only providing emergency medical care</w:t>
      </w:r>
    </w:p>
    <w:p>
      <w:r>
        <w:t>(d) Coordination between agencies, resource management, and implementing state-level disaster plans</w:t>
      </w:r>
    </w:p>
    <w:p>
      <w:r>
        <w:t>Answer: d</w:t>
      </w:r>
    </w:p>
    <w:p>
      <w:r>
        <w:t>Solution: State authorities coordinate between national, district, and local agencies while implementing state disaster management plans and managing resources. Option C (medical care only) is too narrow. Option A (national policy) is NDMA's role, not state. Option B (international) is minimal for state authorities. State Disaster Management = State-level Strategy and coordination.</w:t>
      </w:r>
    </w:p>
    <w:p>
      <w:r>
        <w:t>Positive Marks: 1</w:t>
      </w:r>
    </w:p>
    <w:p>
      <w:r>
        <w:t>Negative Marks: 0.33</w:t>
      </w:r>
    </w:p>
    <w:p>
      <w:r>
        <w:t>Question: In cases where fetal abnormality incompatible with life is detected at 19 weeks gestation, what is the procedure for MTP according to the act?</w:t>
      </w:r>
    </w:p>
    <w:p>
      <w:r>
        <w:t>(a) Can be done on single doctor's opinion</w:t>
      </w:r>
    </w:p>
    <w:p>
      <w:r>
        <w:t>(b) Requires two doctors' opinion for termination</w:t>
      </w:r>
    </w:p>
    <w:p>
      <w:r>
        <w:t>(c) Cannot be done as 20-week limit not reached in old act</w:t>
      </w:r>
    </w:p>
    <w:p>
      <w:r>
        <w:t>(d) Requires medical board approval</w:t>
      </w:r>
    </w:p>
    <w:p>
      <w:r>
        <w:t>Answer: b</w:t>
      </w:r>
    </w:p>
    <w:p>
      <w:r>
        <w:t>Solution: Even when fetal abnormality incompatible with life is detected at 19 weeks (within 12-20 week window), Section 3(2)(b) mandates TWO registered medical practitioners' opinion before termination. The severity or lethality of abnormality doesn't reduce the number of opinions required in second trimester; it strengthens the indication. Prior to 2021 amendment, the absolute limit was 20 weeks; now special categories extend to 24 weeks. Two-doctor requirement ensures proper diagnosis and confirms abnormality before proceeding.</w:t>
      </w:r>
    </w:p>
    <w:p>
      <w:r>
        <w:t>Positive Marks: 1</w:t>
      </w:r>
    </w:p>
    <w:p>
      <w:r>
        <w:t>Negative Marks: 0.33</w:t>
      </w:r>
    </w:p>
    <w:p>
      <w:r>
        <w:t>Question: How does PC-PNDT Act specifically address the scenario where a pregnant woman is coerced by family for sex-determination?</w:t>
      </w:r>
    </w:p>
    <w:p>
      <w:r>
        <w:t>(a) The woman is typically exempted from punishment while those compelling her can be prosecuted</w:t>
      </w:r>
    </w:p>
    <w:p>
      <w:r>
        <w:t>(b) The woman receives equal punishment as those compelling her</w:t>
      </w:r>
    </w:p>
    <w:p>
      <w:r>
        <w:t>(c) The Act does not differentiate between willing and coerced participation</w:t>
      </w:r>
    </w:p>
    <w:p>
      <w:r>
        <w:t>(d) The woman can seek prosecution against family members</w:t>
      </w:r>
    </w:p>
    <w:p>
      <w:r>
        <w:t>Answer: a</w:t>
      </w:r>
    </w:p>
    <w:p>
      <w:r>
        <w:t>Solution: PC-PNDT Act recognizes that pregnant women are often victims of family coercion and provides exemption from punishment while those compelling her (in-laws, husband, relatives) can face prosecution. This acknowledges women's vulnerable socio-legal position. Option (b) treats perpetrator and victim equally. Option (d) allows prosecution but doesn't guarantee immunity. Option (c) ignores the victim-protection intent. This provision is progressive law, targeting actual wrongdoers—the family members exercising coercion—while protecting victimized women.</w:t>
      </w:r>
    </w:p>
    <w:p>
      <w:r>
        <w:t>Positive Marks: 1</w:t>
      </w:r>
    </w:p>
    <w:p>
      <w:r>
        <w:t>Negative Marks: 0.33</w:t>
      </w:r>
    </w:p>
    <w:p>
      <w:r>
        <w:t>Question: The right to equality before law is under which Article of the Indian Constitution?</w:t>
      </w:r>
    </w:p>
    <w:p>
      <w:r>
        <w:t>(a) Article 21</w:t>
      </w:r>
    </w:p>
    <w:p>
      <w:r>
        <w:t>(b) Article 15 only</w:t>
      </w:r>
    </w:p>
    <w:p>
      <w:r>
        <w:t>(c) Article 19</w:t>
      </w:r>
    </w:p>
    <w:p>
      <w:r>
        <w:t>(d) Article 14</w:t>
      </w:r>
    </w:p>
    <w:p>
      <w:r>
        <w:t>Answer: d</w:t>
      </w:r>
    </w:p>
    <w:p>
      <w:r>
        <w:t>Solution: Article 14 provides equality before the law and equal protection of laws.</w:t>
      </w:r>
    </w:p>
    <w:p>
      <w:r>
        <w:t>Positive Marks: 1</w:t>
      </w:r>
    </w:p>
    <w:p>
      <w:r>
        <w:t>Negative Marks: 0.33</w:t>
      </w:r>
    </w:p>
    <w:p>
      <w:r>
        <w:t>Question: A patient requires a kidney transplant from a living donor who is not a near relative. Under the act, this transplant can proceed only with:</w:t>
      </w:r>
    </w:p>
    <w:p>
      <w:r>
        <w:t>(a) Permission from the Chief Medical Officer of the district</w:t>
      </w:r>
    </w:p>
    <w:p>
      <w:r>
        <w:t>(b) Authorization from the Authorization Committee after due enquiry into the relationship and voluntariness of donation</w:t>
      </w:r>
    </w:p>
    <w:p>
      <w:r>
        <w:t>(c) Approval from the organ retrieval center director</w:t>
      </w:r>
    </w:p>
    <w:p>
      <w:r>
        <w:t>(d) Written consent of the patient only</w:t>
      </w:r>
    </w:p>
    <w:p>
      <w:r>
        <w:t>Answer: b</w:t>
      </w:r>
    </w:p>
    <w:p>
      <w:r>
        <w:t>Solution: Non-related living organ donation requires Authorization Committee approval after enquiry to prevent commercialization and ensure genuine voluntary donation. Option D (patient consent alone) is insufficient safeguard; B (director approval) lacks ethical oversight; D (CMO permission) is not the designated authority. This committee-based scrutiny is crucial for protecting potential donors from exploitation.</w:t>
      </w:r>
    </w:p>
    <w:p>
      <w:r>
        <w:t>Positive Marks: 1</w:t>
      </w:r>
    </w:p>
    <w:p>
      <w:r>
        <w:t>Negative Marks: 0.33</w:t>
      </w:r>
    </w:p>
    <w:p>
      <w:r>
        <w:t>Question: Which section of the RTI Act specifically protects the privacy of personal information while ensuring information access?</w:t>
      </w:r>
    </w:p>
    <w:p>
      <w:r>
        <w:t>(a) Section 8 (exemptions from disclosure)</w:t>
      </w:r>
    </w:p>
    <w:p>
      <w:r>
        <w:t>(b) Section 5 (holding of information)</w:t>
      </w:r>
    </w:p>
    <w:p>
      <w:r>
        <w:t>(c) Section 14 (penalties)</w:t>
      </w:r>
    </w:p>
    <w:p>
      <w:r>
        <w:t>(d) Section 10 (refusal of request)</w:t>
      </w:r>
    </w:p>
    <w:p>
      <w:r>
        <w:t>Answer: a</w:t>
      </w:r>
    </w:p>
    <w:p>
      <w:r>
        <w:t>Solution: Section 8 of RTI Act contains exemptions that protect personal privacy and sensitive information from disclosure. Section 5 defines what information authorities hold; section 10 addresses request refusal; section 14 covers penalties. Section 8 specifically balances right to information with protection of personal privacy and safety.</w:t>
      </w:r>
    </w:p>
    <w:p>
      <w:r>
        <w:t>Positive Marks: 1</w:t>
      </w:r>
    </w:p>
    <w:p>
      <w:r>
        <w:t>Negative Marks: 0.33</w:t>
      </w:r>
    </w:p>
    <w:p>
      <w:r>
        <w:t>Question: What is meant by 'Advance Directive' under the Mental Health Care Act, 2017?</w:t>
      </w:r>
    </w:p>
    <w:p>
      <w:r>
        <w:t>(a) An emergency detention order issued by law enforcement authorities</w:t>
      </w:r>
    </w:p>
    <w:p>
      <w:r>
        <w:t>(b) A government order authorizing compulsory mental health treatment</w:t>
      </w:r>
    </w:p>
    <w:p>
      <w:r>
        <w:t>(c) A psychiatric prescription from the treating doctor</w:t>
      </w:r>
    </w:p>
    <w:p>
      <w:r>
        <w:t>(d) A written instruction specifying preferences for mental health care during periods of incapacity</w:t>
      </w:r>
    </w:p>
    <w:p>
      <w:r>
        <w:t>Answer: d</w:t>
      </w:r>
    </w:p>
    <w:p>
      <w:r>
        <w:t>Solution: An Advance Directive is a written document prepared by a person specifying treatment preferences, care choices, and advance decisions to be followed if they become incapable of decision-making in future. It's a self-determination tool. Option b is administrative; option c is clinical, not an advance instruction; option a relates to emergency detention. Section 86 of the Act details Advance Directive provisions. Mnemonic: 'AD = Advance Declaration of personal preferences and wishes.'</w:t>
      </w:r>
    </w:p>
    <w:p>
      <w:r>
        <w:t>Positive Marks: 1</w:t>
      </w:r>
    </w:p>
    <w:p>
      <w:r>
        <w:t>Negative Marks: 0.33</w:t>
      </w:r>
    </w:p>
    <w:p>
      <w:r>
        <w:t>Question: Which of the following rights is NOT explicitly protected under the Consumer Protection Act, 2019 for patients receiving nursing care?</w:t>
      </w:r>
    </w:p>
    <w:p>
      <w:r>
        <w:t>(a) Right to seek redressal and compensation for deficiency</w:t>
      </w:r>
    </w:p>
    <w:p>
      <w:r>
        <w:t>(b) Right to free choice of nurse of patient's preference</w:t>
      </w:r>
    </w:p>
    <w:p>
      <w:r>
        <w:t>(c) Right to information about nursing care and procedures</w:t>
      </w:r>
    </w:p>
    <w:p>
      <w:r>
        <w:t>(d) Right to safety and security during healthcare delivery</w:t>
      </w:r>
    </w:p>
    <w:p>
      <w:r>
        <w:t>Answer: b</w:t>
      </w:r>
    </w:p>
    <w:p>
      <w:r>
        <w:t>Solution: The Consumer Protection Act protects the right to information (transparency), safety/security in healthcare services, and redressal mechanisms. However, it does not guarantee the 'free choice of nurse of patient's preference' as healthcare facilities maintain staffing policies. This remains a facility decision based on availability and professional allocation. Rights A, C, and D are clearly protected consumer rights in healthcare services.</w:t>
      </w:r>
    </w:p>
    <w:p>
      <w:r>
        <w:t>Positive Marks: 1</w:t>
      </w:r>
    </w:p>
    <w:p>
      <w:r>
        <w:t>Negative Marks: 0.33</w:t>
      </w:r>
    </w:p>
    <w:p>
      <w:r>
        <w:t>Question: To verify effectiveness of biomedical waste treatment in an incineration facility, which microbiological indicator is most appropriate?</w:t>
      </w:r>
    </w:p>
    <w:p>
      <w:r>
        <w:t>(a) Vegetative bacterial count only</w:t>
      </w:r>
    </w:p>
    <w:p>
      <w:r>
        <w:t>(b) Spores of Bacillus species demonstrating log reduction of ≥6</w:t>
      </w:r>
    </w:p>
    <w:p>
      <w:r>
        <w:t>(c) Viral titration studies exclusively</w:t>
      </w:r>
    </w:p>
    <w:p>
      <w:r>
        <w:t>(d) Fungal culture positivity alone</w:t>
      </w:r>
    </w:p>
    <w:p>
      <w:r>
        <w:t>Answer: b</w:t>
      </w:r>
    </w:p>
    <w:p>
      <w:r>
        <w:t>Solution: Bacillus spores (extremely heat-resistant, log reduction ≥6 required) are the gold standard for verifying incineration effectiveness. Vegetative bacteria are too easily killed; fungi/viruses alone insufficient as indicators. Spore indicators ensure pathogenic reduction across all microorganisms. This compliance monitoring is critical per BMW Rules and international biomedical waste standards.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