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Candida albicans MOST commonly causes which type of infection in non-immunocompromised individuals?</w:t>
      </w:r>
    </w:p>
    <w:p>
      <w:r>
        <w:t>(a) Tinea pedis with nail involvement</w:t>
      </w:r>
    </w:p>
    <w:p>
      <w:r>
        <w:t>(b) Oral thrush (pseudomembranous candidiasis) and vulvovaginal candidiasis</w:t>
      </w:r>
    </w:p>
    <w:p>
      <w:r>
        <w:t>(c) Tinea corporis with annular lesions</w:t>
      </w:r>
    </w:p>
    <w:p>
      <w:r>
        <w:t>(d) Systemic candidiasis with fever</w:t>
      </w:r>
    </w:p>
    <w:p>
      <w:r>
        <w:t>Answer: b</w:t>
      </w:r>
    </w:p>
    <w:p>
      <w:r>
        <w:t>Solution: Candida albicans commonly causes oral thrush (white pseudomembranes on tongue/buccal mucosa, removable but leaves red base) and vulvovaginal candidiasis in immunocompetent individuals, especially after antibiotic use disrupting normal flora. These are superficial mucosal infections, not dermatophyte infections (options a and c). Option d (systemic candidiasis) occurs primarily in immunocompromised patients. Pathophysiology: Candida is a commensal disrupted by antibiotics or local moisture—thrush follows broad-spectrum antibiotics; vaginal infection follows disrupted flora.</w:t>
      </w:r>
    </w:p>
    <w:p>
      <w:r>
        <w:t>Positive Marks: 1</w:t>
      </w:r>
    </w:p>
    <w:p>
      <w:r>
        <w:t>Negative Marks: 0.33</w:t>
      </w:r>
    </w:p>
    <w:p>
      <w:r>
        <w:t>Question: Which of the following conditions would MOST likely cause an autoclave to produce non-sterile materials despite normal temperature and pressure gauge readings?</w:t>
      </w:r>
    </w:p>
    <w:p>
      <w:r>
        <w:t>(a) Processing instruments in the afternoon rather than morning</w:t>
      </w:r>
    </w:p>
    <w:p>
      <w:r>
        <w:t>(b) Using cloth-wrapped surgical packs instead of paper-plastic combination wraps</w:t>
      </w:r>
    </w:p>
    <w:p>
      <w:r>
        <w:t>(c) Autoclaving instruments previously stored at ambient room temperature</w:t>
      </w:r>
    </w:p>
    <w:p>
      <w:r>
        <w:t>(d) Loading dense instrument bundles tightly together, trapping air pockets that prevent steam penetration</w:t>
      </w:r>
    </w:p>
    <w:p>
      <w:r>
        <w:t>Answer: d</w:t>
      </w:r>
    </w:p>
    <w:p>
      <w:r>
        <w:t>Solution: Air pockets within dense bundles create sterilization failure zones because steam cannot penetrate air-filled spaces, leaving microbes viable deep within the load despite correct temperature/pressure readings. This is the most common cause of hidden autoclave failures. Option B (cloth vs paper wraps) - proper wrapping actually allows steam penetration. Option A (time of day) is completely irrelevant to sterilization efficacy. Option C (storage temperature) doesn't affect sterilization effectiveness. Prevention: avoid overloading, use perforated trays, ensure adequate spacing, arrange bundles vertically for steam flow. Quality control: biological indicators (Bacillus spores) detect failures better than gauges alone. Critical principle: 'Temperature gauges don't prove sterility - biological indicators do'</w:t>
      </w:r>
    </w:p>
    <w:p>
      <w:r>
        <w:t>Positive Marks: 1</w:t>
      </w:r>
    </w:p>
    <w:p>
      <w:r>
        <w:t>Negative Marks: 0.33</w:t>
      </w:r>
    </w:p>
    <w:p>
      <w:r>
        <w:t>Question: Why is Klebsiella pneumoniae associated with higher mortality in community-acquired pneumonia compared to Streptococcus pneumoniae?</w:t>
      </w:r>
    </w:p>
    <w:p>
      <w:r>
        <w:t>(a) Produces more toxins than S. pneumoniae</w:t>
      </w:r>
    </w:p>
    <w:p>
      <w:r>
        <w:t>(b) Possesses anticapsular antibodies</w:t>
      </w:r>
    </w:p>
    <w:p>
      <w:r>
        <w:t>(c) Causes more severe tissue necrosis with potential for lung abscess formation</w:t>
      </w:r>
    </w:p>
    <w:p>
      <w:r>
        <w:t>(d) Induces immunosuppression in the host</w:t>
      </w:r>
    </w:p>
    <w:p>
      <w:r>
        <w:t>Answer: c</w:t>
      </w:r>
    </w:p>
    <w:p>
      <w:r>
        <w:t>Solution: Klebsiella pneumoniae causes necrotizing pneumonia with potential lung abscess formation due to its proteolytic enzymes and virulence factors, leading to tissue destruction and higher morbidity/mortality. The hypermucoid phenotype and capsule prevent effective opsonization. S. pneumoniae typically causes consolidative pneumonia that responds to antibiotics; Klebsiella's tissue-destructive nature and antibiotic resistance (especially ESBL and carbapenem-resistant strains) result in worse outcomes.</w:t>
      </w:r>
    </w:p>
    <w:p>
      <w:r>
        <w:t>Positive Marks: 1</w:t>
      </w:r>
    </w:p>
    <w:p>
      <w:r>
        <w:t>Negative Marks: 0.33</w:t>
      </w:r>
    </w:p>
    <w:p>
      <w:r>
        <w:t>Question: What is the primary physical state of solid culture media used in microbiology?</w:t>
      </w:r>
    </w:p>
    <w:p>
      <w:r>
        <w:t>(a) Agar-based</w:t>
      </w:r>
    </w:p>
    <w:p>
      <w:r>
        <w:t>(b) Gelatin-based</w:t>
      </w:r>
    </w:p>
    <w:p>
      <w:r>
        <w:t>(c) Oil-based</w:t>
      </w:r>
    </w:p>
    <w:p>
      <w:r>
        <w:t>(d) Wax-based</w:t>
      </w:r>
    </w:p>
    <w:p>
      <w:r>
        <w:t>Answer: a</w:t>
      </w:r>
    </w:p>
    <w:p>
      <w:r>
        <w:t>Solution: Agar, a polysaccharide extracted from seaweed, is the standard solidifying agent in microbiology due to its stability and inability to be metabolized by most microorganisms. Gelatin (option B) liquefies at body temperature and is decomposed by many bacteria. Oil and wax-based media (options C and D) are not standard as solidifying agents. Agar remains solid at 37°C and provides ideal consistency for isolated colony growth and plate culture techniques.</w:t>
      </w:r>
    </w:p>
    <w:p>
      <w:r>
        <w:t>Positive Marks: 1</w:t>
      </w:r>
    </w:p>
    <w:p>
      <w:r>
        <w:t>Negative Marks: 0.33</w:t>
      </w:r>
    </w:p>
    <w:p>
      <w:r>
        <w:t>Question: Loss of co-inhibitory signal function (CTLA-4, PD-1) in T cells contributes to autoimmunity by which mechanism?</w:t>
      </w:r>
    </w:p>
    <w:p>
      <w:r>
        <w:t>(a) Increased activation and survival of autoreactive T cells due to loss of negative signaling</w:t>
      </w:r>
    </w:p>
    <w:p>
      <w:r>
        <w:t>(b) Decreased production of pro-inflammatory cytokines</w:t>
      </w:r>
    </w:p>
    <w:p>
      <w:r>
        <w:t>(c) Enhanced development of regulatory T cells</w:t>
      </w:r>
    </w:p>
    <w:p>
      <w:r>
        <w:t>(d) Reduced thymic selection of autoreactive T cells</w:t>
      </w:r>
    </w:p>
    <w:p>
      <w:r>
        <w:t>Answer: a</w:t>
      </w:r>
    </w:p>
    <w:p>
      <w:r>
        <w:t>Solution: Co-inhibitory molecules (CTLA-4, PD-1) on T cells provide negative signals suppressing T cell activation (immune checkpoints). Loss or blocking of these signals (genetic mutations or checkpoint inhibitor therapy) removes inhibitory signals, allowing uncontrolled autoreactive T cell activation. This leads to enhanced autoimmune responses. Thymic selection is unaffected. Pro-inflammatory cytokines increase (not decrease). Treg development is not enhanced. Checkpoint inhibitors in cancer can trigger autoimmune adverse effects by this mechanism.</w:t>
      </w:r>
    </w:p>
    <w:p>
      <w:r>
        <w:t>Positive Marks: 1</w:t>
      </w:r>
    </w:p>
    <w:p>
      <w:r>
        <w:t>Negative Marks: 0.33</w:t>
      </w:r>
    </w:p>
    <w:p>
      <w:r>
        <w:t>Question: A clinical specimen shows both Gram-positive and Gram-negative bacteria. Which one of the following explanations is most likely for this mixed result in a single bacterial culture?</w:t>
      </w:r>
    </w:p>
    <w:p>
      <w:r>
        <w:t>(a) Contamination during specimen collection</w:t>
      </w:r>
    </w:p>
    <w:p>
      <w:r>
        <w:t>(b) Improper fixation technique</w:t>
      </w:r>
    </w:p>
    <w:p>
      <w:r>
        <w:t>(c) Excessive heating during counter-staining</w:t>
      </w:r>
    </w:p>
    <w:p>
      <w:r>
        <w:t>(d) Mixed bacterial infection from a polymicrobial source</w:t>
      </w:r>
    </w:p>
    <w:p>
      <w:r>
        <w:t>Answer: d</w:t>
      </w:r>
    </w:p>
    <w:p>
      <w:r>
        <w:t>Solution: A truly mixed result (both Gram-positive and Gram-negative bacteria in the same culture) suggests a polymicrobial infection from a mixed bacterial source (e.g., abscess, mixed wound infection, contaminated specimen). While contamination can occur, it typically introduces discrete separate colonies. Improper fixation would affect all bacteria similarly. Excessive heating would not cause differential staining across organisms; it would denature proteins non-selectively. Polymicrobial infections are clinically common in wounds, abdominal infections, and anaerobic infections. However, the clinician should also consider specimen contamination, which is a very common source of mixed results in practice.</w:t>
      </w:r>
    </w:p>
    <w:p>
      <w:r>
        <w:t>Positive Marks: 1</w:t>
      </w:r>
    </w:p>
    <w:p>
      <w:r>
        <w:t>Negative Marks: 0.33</w:t>
      </w:r>
    </w:p>
    <w:p>
      <w:r>
        <w:t>Question: In Type II hypersensitivity drug reactions (e.g., penicillin-induced hemolytic anemia), which antibody type is primarily involved in targeting and destroying drug-coated red blood cells?</w:t>
      </w:r>
    </w:p>
    <w:p>
      <w:r>
        <w:t>(a) IgA antibodies in the complement cascade</w:t>
      </w:r>
    </w:p>
    <w:p>
      <w:r>
        <w:t>(b) IgE antibodies causing mast cell degranulation</w:t>
      </w:r>
    </w:p>
    <w:p>
      <w:r>
        <w:t>(c) IgG and IgM antibodies binding to drug-RBC complexes and activating complement</w:t>
      </w:r>
    </w:p>
    <w:p>
      <w:r>
        <w:t>(d) IgD antibodies as primary cytotoxic mediators</w:t>
      </w:r>
    </w:p>
    <w:p>
      <w:r>
        <w:t>Answer: c</w:t>
      </w:r>
    </w:p>
    <w:p>
      <w:r>
        <w:t>Solution: In drug-induced Type II hemolytic anemia, IgG (primary) and IgM (early) antibodies bind to drug-modified RBC antigens, activating complement classical pathway. C3b and C5b-C9 membrane attack complex are deposited on RBCs, causing lysis. IgE mediates Type I, IgA is mucosal, IgD is mainly B cell receptor. IgG is the most clinically significant in chronic drug-induced hemolysis. Remember: Type II = antibodies against cell surface + complement.</w:t>
      </w:r>
    </w:p>
    <w:p>
      <w:r>
        <w:t>Positive Marks: 1</w:t>
      </w:r>
    </w:p>
    <w:p>
      <w:r>
        <w:t>Negative Marks: 0.33</w:t>
      </w:r>
    </w:p>
    <w:p>
      <w:r>
        <w:t>Question: Why are endospore-forming bacteria such as Bacillus atrophaeus specifically chosen for biological indicators in both autoclaves and hot air ovens?</w:t>
      </w:r>
    </w:p>
    <w:p>
      <w:r>
        <w:t>(a) Their dormant endospores represent the most heat-resistant form of microbial life</w:t>
      </w:r>
    </w:p>
    <w:p>
      <w:r>
        <w:t>(b) They produce enzymes capable of degrading sterilizing chemicals</w:t>
      </w:r>
    </w:p>
    <w:p>
      <w:r>
        <w:t>(c) They can rapidly replicate following sub-lethal heat exposure to detect survivors</w:t>
      </w:r>
    </w:p>
    <w:p>
      <w:r>
        <w:t>(d) They survive exclusively at temperatures exceeding 150°C and higher</w:t>
      </w:r>
    </w:p>
    <w:p>
      <w:r>
        <w:t>Answer: a</w:t>
      </w:r>
    </w:p>
    <w:p>
      <w:r>
        <w:t>Solution: Endospores possess multiple protective features (thick coat, low water content, altered chromosome state) making them 100-1000 times more heat-resistant than vegetative cells, thus representing the ultimate test of sterilizer efficacy. If sterilization kills spores, it kills essentially all other microorganisms. This is why spore suspensions (not vegetative cells) are used for biological validation. Enzyme production is irrelevant; temperature survival varies by species; rapid replication indicates survival but spores don't replicate post-sterilization.</w:t>
      </w:r>
    </w:p>
    <w:p>
      <w:r>
        <w:t>Positive Marks: 1</w:t>
      </w:r>
    </w:p>
    <w:p>
      <w:r>
        <w:t>Negative Marks: 0.33</w:t>
      </w:r>
    </w:p>
    <w:p>
      <w:r>
        <w:t>Question: Which mosquito is the primary vector for dengue virus transmission in urban areas?</w:t>
      </w:r>
    </w:p>
    <w:p>
      <w:r>
        <w:t>(a) Culex quinquefasciatus</w:t>
      </w:r>
    </w:p>
    <w:p>
      <w:r>
        <w:t>(b) Anopheles gambiae</w:t>
      </w:r>
    </w:p>
    <w:p>
      <w:r>
        <w:t>(c) Aedes aegypti</w:t>
      </w:r>
    </w:p>
    <w:p>
      <w:r>
        <w:t>(d) Aedes albopictus</w:t>
      </w:r>
    </w:p>
    <w:p>
      <w:r>
        <w:t>Answer: c</w:t>
      </w:r>
    </w:p>
    <w:p>
      <w:r>
        <w:t>Solution: Aedes aegypti is the primary urban vector for dengue in tropical and subtropical regions. It breeds in artificial containers with stagnant water found in human settlements. Anopheles transmits malaria, Culex transmits filariasis and Japanese encephalitis, and while Aedes albopictus can transmit dengue, it is primarily rural. Key mnemonic: 'Aegypti - urban areas.'</w:t>
      </w:r>
    </w:p>
    <w:p>
      <w:r>
        <w:t>Positive Marks: 1</w:t>
      </w:r>
    </w:p>
    <w:p>
      <w:r>
        <w:t>Negative Marks: 0.33</w:t>
      </w:r>
    </w:p>
    <w:p>
      <w:r>
        <w:t>Question: Contact precautions are primarily used to prevent transmission through:</w:t>
      </w:r>
    </w:p>
    <w:p>
      <w:r>
        <w:t>(a) Blood-borne pathogens only</w:t>
      </w:r>
    </w:p>
    <w:p>
      <w:r>
        <w:t>(b) Direct or indirect contact with contaminated surfaces</w:t>
      </w:r>
    </w:p>
    <w:p>
      <w:r>
        <w:t>(c) Airborne particles</w:t>
      </w:r>
    </w:p>
    <w:p>
      <w:r>
        <w:t>(d) Respiratory droplets</w:t>
      </w:r>
    </w:p>
    <w:p>
      <w:r>
        <w:t>Answer: b</w:t>
      </w:r>
    </w:p>
    <w:p>
      <w:r>
        <w:t>Solution: Contact precautions prevent transmission through direct skin-to-skin contact and indirect contact via contaminated surfaces or equipment. Option d describes droplet precautions transmission route. Option c describes airborne precautions. Option a is too narrow; blood-borne is covered under standard precautions. Contact precautions require gloves and gowns, and dedicated equipment for that patient. Mnemonic: Contact = touching (hands, surfaces, equipment).</w:t>
      </w:r>
    </w:p>
    <w:p>
      <w:r>
        <w:t>Positive Marks: 1</w:t>
      </w:r>
    </w:p>
    <w:p>
      <w:r>
        <w:t>Negative Marks: 0.33</w:t>
      </w:r>
    </w:p>
    <w:p>
      <w:r>
        <w:t>Question: In areas implementing aggressive polio immunization campaigns despite OPV coverage &gt;95%, persistent wild poliovirus circulation suggests:</w:t>
      </w:r>
    </w:p>
    <w:p>
      <w:r>
        <w:t>(a) Vaccine failure due to use of expired vaccines</w:t>
      </w:r>
    </w:p>
    <w:p>
      <w:r>
        <w:t>(b) Cryptic circulation in under-vaccinated pockets or vaccine-derived cases in immunocompromised individuals</w:t>
      </w:r>
    </w:p>
    <w:p>
      <w:r>
        <w:t>(c) Spontaneous viral reactivation from latent reservoirs</w:t>
      </w:r>
    </w:p>
    <w:p>
      <w:r>
        <w:t>(d) Introduction from bordering endemic countries as the sole source</w:t>
      </w:r>
    </w:p>
    <w:p>
      <w:r>
        <w:t>Answer: b</w:t>
      </w:r>
    </w:p>
    <w:p>
      <w:r>
        <w:t>Solution: Persistent polio despite high OPV coverage indicates cryptic transmission in pockets of under-vaccinated populations (nomadic groups, conflicts) or VDPV emergence in immunocompromised individuals with prolonged viral shedding. Expired vaccines would be detected during quality control. Latent reactivation does not occur with poliovirus. Imported cases alone cannot sustain transmission in high-coverage areas. This explains the challenge in final polio eradication phases.</w:t>
      </w:r>
    </w:p>
    <w:p>
      <w:r>
        <w:t>Positive Marks: 1</w:t>
      </w:r>
    </w:p>
    <w:p>
      <w:r>
        <w:t>Negative Marks: 0.33</w:t>
      </w:r>
    </w:p>
    <w:p>
      <w:r>
        <w:t>Question: Why are paired sera (acute and convalescent) preferred in serological diagnosis?</w:t>
      </w:r>
    </w:p>
    <w:p>
      <w:r>
        <w:t>(a) Convalescent serum alone is diagnostic without needing acute serum</w:t>
      </w:r>
    </w:p>
    <w:p>
      <w:r>
        <w:t>(b) A 4-fold rise in titer between acute and convalescent serum confirms recent infection, increasing diagnostic certainty</w:t>
      </w:r>
    </w:p>
    <w:p>
      <w:r>
        <w:t>(c) Single serum samples are always negative and cannot be interpreted</w:t>
      </w:r>
    </w:p>
    <w:p>
      <w:r>
        <w:t>(d) Paired sera double the sensitivity of the test</w:t>
      </w:r>
    </w:p>
    <w:p>
      <w:r>
        <w:t>Answer: b</w:t>
      </w:r>
    </w:p>
    <w:p>
      <w:r>
        <w:t>Solution: Paired sera collected 2-4 weeks apart allow detection of 4-fold or greater rise in antibody titer, diagnostic of recent or acute infection, distinguishing it from past exposure or vaccination. A single convalescent serum may show high titers from past infection. Paired sera provide temporal evidence of infection. This is especially useful for viral infections where single titers may be misleading. STANDARD: 4-fold or greater rise = diagnostic.</w:t>
      </w:r>
    </w:p>
    <w:p>
      <w:r>
        <w:t>Positive Marks: 1</w:t>
      </w:r>
    </w:p>
    <w:p>
      <w:r>
        <w:t>Negative Marks: 0.33</w:t>
      </w:r>
    </w:p>
    <w:p>
      <w:r>
        <w:t>Question: Which hookworm species has two pairs of cutting plates in its buccal capsule?</w:t>
      </w:r>
    </w:p>
    <w:p>
      <w:r>
        <w:t>(a) Ancylostoma duodenale</w:t>
      </w:r>
    </w:p>
    <w:p>
      <w:r>
        <w:t>(b) Strongyloides stercoralis</w:t>
      </w:r>
    </w:p>
    <w:p>
      <w:r>
        <w:t>(c) Necator americanus</w:t>
      </w:r>
    </w:p>
    <w:p>
      <w:r>
        <w:t>(d) Ascaris lumbricoides</w:t>
      </w:r>
    </w:p>
    <w:p>
      <w:r>
        <w:t>Answer: a</w:t>
      </w:r>
    </w:p>
    <w:p>
      <w:r>
        <w:t>Solution: Ancylostoma duodenale possesses two pairs of hooked teeth or cutting plates in its buccal capsule, while Necator americanus has cutting ridges (not teeth). This anatomical difference is critical for species differentiation. Ancylostoma duodenale causes more traumatic feeding damage and greater blood loss, and has greater potential for autoinfection and transmammary transmission compared to Necator.</w:t>
      </w:r>
    </w:p>
    <w:p>
      <w:r>
        <w:t>Positive Marks: 1</w:t>
      </w:r>
    </w:p>
    <w:p>
      <w:r>
        <w:t>Negative Marks: 0.33</w:t>
      </w:r>
    </w:p>
    <w:p>
      <w:r>
        <w:t>Question: Rabies virus is primarily transmitted to humans through?</w:t>
      </w:r>
    </w:p>
    <w:p>
      <w:r>
        <w:t>(a) Contaminated food and water</w:t>
      </w:r>
    </w:p>
    <w:p>
      <w:r>
        <w:t>(b) Respiratory droplets</w:t>
      </w:r>
    </w:p>
    <w:p>
      <w:r>
        <w:t>(c) Saliva via animal bites</w:t>
      </w:r>
    </w:p>
    <w:p>
      <w:r>
        <w:t>(d) Arthropod vectors</w:t>
      </w:r>
    </w:p>
    <w:p>
      <w:r>
        <w:t>Answer: c</w:t>
      </w:r>
    </w:p>
    <w:p>
      <w:r>
        <w:t>Solution: Rabies is predominantly transmitted through the saliva of infected animals via bites, scratches, or mucous membrane contact. While respiratory transmission is rare, it has been documented in laboratory settings. Foodborne and waterborne transmission are extremely rare. Arthropods do not transmit rabies virus. The virus multiplies in salivary glands of infected animals, making saliva the primary infectious vehicle.</w:t>
      </w:r>
    </w:p>
    <w:p>
      <w:r>
        <w:t>Positive Marks: 1</w:t>
      </w:r>
    </w:p>
    <w:p>
      <w:r>
        <w:t>Negative Marks: 0.33</w:t>
      </w:r>
    </w:p>
    <w:p>
      <w:r>
        <w:t>Question: Salmonella is a gram-negative, motile, rod-shaped bacterium that ferments which of the following sugars?</w:t>
      </w:r>
    </w:p>
    <w:p>
      <w:r>
        <w:t>(a) Glucose, lactose, and sucrose equally</w:t>
      </w:r>
    </w:p>
    <w:p>
      <w:r>
        <w:t>(b) Glucose, maltose, and mannitol but NOT lactose</w:t>
      </w:r>
    </w:p>
    <w:p>
      <w:r>
        <w:t>(c) Lactose and glucose but NOT mannitol</w:t>
      </w:r>
    </w:p>
    <w:p>
      <w:r>
        <w:t>(d) Only lactose and sucrose</w:t>
      </w:r>
    </w:p>
    <w:p>
      <w:r>
        <w:t>Answer: b</w:t>
      </w:r>
    </w:p>
    <w:p>
      <w:r>
        <w:t>Solution: Salmonella are non-lactose fermenting bacteria. They ferment glucose, maltose, and mannitol but NOT lactose, which is a key differential feature distinguishing them from E. coli. This characteristic is used in selective media (like HE agar or XLD agar) for Salmonella isolation. Option c is incorrect because Salmonella do NOT ferment lactose. Options c and d are wrong as they include lactose fermentation, which Salmonella cannot do. MNEMONIC: 'Salmonella Sans Lactose' (SSL).</w:t>
      </w:r>
    </w:p>
    <w:p>
      <w:r>
        <w:t>Positive Marks: 1</w:t>
      </w:r>
    </w:p>
    <w:p>
      <w:r>
        <w:t>Negative Marks: 0.33</w:t>
      </w:r>
    </w:p>
    <w:p>
      <w:r>
        <w:t>Question: Which classification BEST describes influenza and COVID-19 viruses in terms of nucleic acid composition and envelope status?</w:t>
      </w:r>
    </w:p>
    <w:p>
      <w:r>
        <w:t>(a) Both are enveloped, negative-sense single-stranded RNA (-ssRNA) viruses</w:t>
      </w:r>
    </w:p>
    <w:p>
      <w:r>
        <w:t>(b) Influenza is DNA virus; COVID-19 is RNA virus</w:t>
      </w:r>
    </w:p>
    <w:p>
      <w:r>
        <w:t>(c) Both are non-enveloped DNA viruses</w:t>
      </w:r>
    </w:p>
    <w:p>
      <w:r>
        <w:t>(d) Influenza is RNA virus; COVID-19 is retrocoronavirus</w:t>
      </w:r>
    </w:p>
    <w:p>
      <w:r>
        <w:t>Answer: a</w:t>
      </w:r>
    </w:p>
    <w:p>
      <w:r>
        <w:t>Solution: Both influenza (Orthomyxovirus) and SARS-CoV-2 (Coronavirus) are enveloped, negative-sense single-stranded RNA (-ssRNA) viruses. The lipid envelope renders both sensitive to disinfectants, drying, and environmental conditions—explaining efficacy of hand hygiene and surface disinfection. Influenza has segmented genome (8 segments); SARS-CoV-2 has non-segmented genome—a structural difference. Both possess envelope glycoproteins recognized by immune system. This classification explains similar transmission routes and environmental stability.</w:t>
      </w:r>
    </w:p>
    <w:p>
      <w:r>
        <w:t>Positive Marks: 1</w:t>
      </w:r>
    </w:p>
    <w:p>
      <w:r>
        <w:t>Negative Marks: 0.33</w:t>
      </w:r>
    </w:p>
    <w:p>
      <w:r>
        <w:t>Question: Analysis of your hospital's antibiogram shows increasing prevalence of ESBL-producing E. coli (40% of isolates). What is the most appropriate institutional response?</w:t>
      </w:r>
    </w:p>
    <w:p>
      <w:r>
        <w:t>(a) Assume all E. coli are ESBL-positive and empirically treat with carbapenems</w:t>
      </w:r>
    </w:p>
    <w:p>
      <w:r>
        <w:t>(b) Restrict third-generation cephalosporins; use carbapenems for ESBL-suspected infections; implement stewardship bundle with surveillance</w:t>
      </w:r>
    </w:p>
    <w:p>
      <w:r>
        <w:t>(c) Increase fluoroquinolone prescriptions as an alternative to cephalosporins</w:t>
      </w:r>
    </w:p>
    <w:p>
      <w:r>
        <w:t>(d) Discontinue all E. coli susceptibility testing as it is now unreliable</w:t>
      </w:r>
    </w:p>
    <w:p>
      <w:r>
        <w:t>Answer: b</w:t>
      </w:r>
    </w:p>
    <w:p>
      <w:r>
        <w:t>Solution: High ESBL prevalence mandates institutional action: restrict susceptible drugs (3rd-generation cephalosporins), use carbapenem-based empiric therapy when ESBL is suspected, intensify stewardship audits, and maintain surveillance. Option c creates fluoroquinolone resistance; c overuses carbapenems unnecessarily; d abandons critical surveillance. This data-driven approach mitigates resistance escalation while optimizing therapy.</w:t>
      </w:r>
    </w:p>
    <w:p>
      <w:r>
        <w:t>Positive Marks: 1</w:t>
      </w:r>
    </w:p>
    <w:p>
      <w:r>
        <w:t>Negative Marks: 0.33</w:t>
      </w:r>
    </w:p>
    <w:p>
      <w:r>
        <w:t>Question: Toxic Shock Syndrome (TSS) is primarily mediated by which toxin?</w:t>
      </w:r>
    </w:p>
    <w:p>
      <w:r>
        <w:t>(a) Toxic Shock Syndrome Toxin-1 (TSST-1)</w:t>
      </w:r>
    </w:p>
    <w:p>
      <w:r>
        <w:t>(b) Alpha-hemolysin</w:t>
      </w:r>
    </w:p>
    <w:p>
      <w:r>
        <w:t>(c) Exfoliative toxin</w:t>
      </w:r>
    </w:p>
    <w:p>
      <w:r>
        <w:t>(d) Enterotoxin A</w:t>
      </w:r>
    </w:p>
    <w:p>
      <w:r>
        <w:t>Answer: a</w:t>
      </w:r>
    </w:p>
    <w:p>
      <w:r>
        <w:t>Solution: TSST-1 is a superantigen-producing toxin that causes toxic shock syndrome via massive cytokine release and immune activation. Enterotoxins cause food poisoning and TSS but TSST-1 is primary in menstrual TSS. Exfoliative toxin causes scalded skin syndrome. Alpha-hemolysin causes tissue destruction but not TSS. Mnemonic: TSST-1 = Toxin for Toxic Shock Syndrome.</w:t>
      </w:r>
    </w:p>
    <w:p>
      <w:r>
        <w:t>Positive Marks: 1</w:t>
      </w:r>
    </w:p>
    <w:p>
      <w:r>
        <w:t>Negative Marks: 0.33</w:t>
      </w:r>
    </w:p>
    <w:p>
      <w:r>
        <w:t>Question: In outbreak investigation of vancomycin-resistant enterococci (VRE) in hospital ward, the 'basic reproduction number (R₀)' helps estimate:</w:t>
      </w:r>
    </w:p>
    <w:p>
      <w:r>
        <w:t>(a) The total number of cases expected in the outbreak</w:t>
      </w:r>
    </w:p>
    <w:p>
      <w:r>
        <w:t>(b) Average number of susceptible individuals an infected person will infect in a completely susceptible population, indicating transmission potential</w:t>
      </w:r>
    </w:p>
    <w:p>
      <w:r>
        <w:t>(c) The antibiotic resistance level of the organism</w:t>
      </w:r>
    </w:p>
    <w:p>
      <w:r>
        <w:t>(d) The percentage of staff who are carriers</w:t>
      </w:r>
    </w:p>
    <w:p>
      <w:r>
        <w:t>Answer: b</w:t>
      </w:r>
    </w:p>
    <w:p>
      <w:r>
        <w:t>Solution: R₀ (basic reproduction number) = average number of secondary cases per primary case in naive population. R₀ &gt; 1 indicates outbreak will spread; R₀ &lt; 1 indicates natural decline. For VRE in controlled hospital setting, R₀ is typically &lt; 1 in presence of infection control. B (total cases) depends on R₀ + initial cases + duration, C (resistance) is laboratory finding, D (carrier prevalence) is different metric. High R₀ requires intense control measures.</w:t>
      </w:r>
    </w:p>
    <w:p>
      <w:r>
        <w:t>Positive Marks: 1</w:t>
      </w:r>
    </w:p>
    <w:p>
      <w:r>
        <w:t>Negative Marks: 0.33</w:t>
      </w:r>
    </w:p>
    <w:p>
      <w:r>
        <w:t>Question: The Baltimore classification system categorizes viruses primarily based on which factor?</w:t>
      </w:r>
    </w:p>
    <w:p>
      <w:r>
        <w:t>(a) Type, polarity, and strandedness of nucleic acid and replication strategy</w:t>
      </w:r>
    </w:p>
    <w:p>
      <w:r>
        <w:t>(b) Clinical disease presentation, pathogenicity, and transmission route</w:t>
      </w:r>
    </w:p>
    <w:p>
      <w:r>
        <w:t>(c) Morphological features including size, shape, and capsid architecture</w:t>
      </w:r>
    </w:p>
    <w:p>
      <w:r>
        <w:t>(d) Geographic origin and endemic disease distribution of viral isolates</w:t>
      </w:r>
    </w:p>
    <w:p>
      <w:r>
        <w:t>Answer: a</w:t>
      </w:r>
    </w:p>
    <w:p>
      <w:r>
        <w:t>Solution: Baltimore classification uses molecular properties as the organizing principle: genome type (DNA vs RNA), strandedness (single vs double), polarity (for RNA), and replication mechanism. This creates 7 biological groups (I-VII) reflecting fundamental molecular mechanisms. Options a, c, and d are phenotypic, not molecular criteria. This classification is superior because nucleic acid properties directly determine replication strategies. Mnemonic: Baltimore = Based on Biological properties, not disease.</w:t>
      </w:r>
    </w:p>
    <w:p>
      <w:r>
        <w:t>Positive Marks: 1</w:t>
      </w:r>
    </w:p>
    <w:p>
      <w:r>
        <w:t>Negative Marks: 0.33</w:t>
      </w:r>
    </w:p>
    <w:p>
      <w:r>
        <w:t>Question: A 42-year-old woman with poorly controlled diabetes (HbA1c 11%) presents with recurrent vulvovaginal candidiasis. Which of the following mechanisms best explains the increased susceptibility to Candida infection in this patient?</w:t>
      </w:r>
    </w:p>
    <w:p>
      <w:r>
        <w:t>(a) Elevated glucose levels in genital secretions create a favorable environment for fungal growth</w:t>
      </w:r>
    </w:p>
    <w:p>
      <w:r>
        <w:t>(b) Antifungal antibodies are produced excessively in diabetes</w:t>
      </w:r>
    </w:p>
    <w:p>
      <w:r>
        <w:t>(c) The causative organism mutates to a more virulent form in hyperglycemia</w:t>
      </w:r>
    </w:p>
    <w:p>
      <w:r>
        <w:t>(d) Diabetes causes permanent destruction of the vaginal epithelium</w:t>
      </w:r>
    </w:p>
    <w:p>
      <w:r>
        <w:t>Answer: a</w:t>
      </w:r>
    </w:p>
    <w:p>
      <w:r>
        <w:t>Solution: Hyperglycemia increases glucose concentration in body secretions including vaginal fluids, creating an optimal environment for Candida albicans growth and colonization. This is the primary pathophysiologic mechanism behind increased candidiasis susceptibility in diabetic patients. Option d is incorrect as epithelial damage is temporary and reversible with glycemic control. Option b is false because antibody production and cell-mediated immunity are actually impaired in diabetes. Option c is incorrect as Candida doesn't undergo virulent mutation; rather, hyperglycemic states simply favor its proliferation. Key memory aid: 'High glucose = High candida risk' - glycemic control is essential for preventing recurrent infections.</w:t>
      </w:r>
    </w:p>
    <w:p>
      <w:r>
        <w:t>Positive Marks: 1</w:t>
      </w:r>
    </w:p>
    <w:p>
      <w:r>
        <w:t>Negative Marks: 0.33</w:t>
      </w:r>
    </w:p>
    <w:p>
      <w:r>
        <w:t>Question: How many distinct classes of immunoglobulins are found in human blood?</w:t>
      </w:r>
    </w:p>
    <w:p>
      <w:r>
        <w:t>(a) Five classes designated as IgG, IgA, IgM, IgD, and IgE</w:t>
      </w:r>
    </w:p>
    <w:p>
      <w:r>
        <w:t>(b) Seven classes including subclasses as separate entities</w:t>
      </w:r>
    </w:p>
    <w:p>
      <w:r>
        <w:t>(c) Three classes related to immune response timing</w:t>
      </w:r>
    </w:p>
    <w:p>
      <w:r>
        <w:t>(d) Two classes based on molecular weight</w:t>
      </w:r>
    </w:p>
    <w:p>
      <w:r>
        <w:t>Answer: a</w:t>
      </w:r>
    </w:p>
    <w:p>
      <w:r>
        <w:t>Solution: There are exactly five immunoglobulin classes in humans: IgG (most abundant), IgA (mucosal immunity), IgM (primary response), IgD (B cell receptor), and IgE (allergic reactions). Option d is too few; option c omits IgE and IgD. Option b confuses subclasses with classes; IgG has subclasses but they're not separate classes. IgG-4 or IgA-1 are subclasses, not main classes.</w:t>
      </w:r>
    </w:p>
    <w:p>
      <w:r>
        <w:t>Positive Marks: 1</w:t>
      </w:r>
    </w:p>
    <w:p>
      <w:r>
        <w:t>Negative Marks: 0.33</w:t>
      </w:r>
    </w:p>
    <w:p>
      <w:r>
        <w:t>Question: A 28-year-old wound infection patient has anaerobic gram-positive bacilli on culture. The organism shows zones of hemolysis on blood agar and produces both alpha and beta toxins. When cultured on Nagler agar, the organism shows an opalescent opacity on the half inoculated with antitoxin. What is the diagnosis?</w:t>
      </w:r>
    </w:p>
    <w:p>
      <w:r>
        <w:t>(a) Clostridium perfringens Type B</w:t>
      </w:r>
    </w:p>
    <w:p>
      <w:r>
        <w:t>(b) Clostridium perfringens Type A</w:t>
      </w:r>
    </w:p>
    <w:p>
      <w:r>
        <w:t>(c) Clostridium botulinum</w:t>
      </w:r>
    </w:p>
    <w:p>
      <w:r>
        <w:t>(d) Clostridium septicum</w:t>
      </w:r>
    </w:p>
    <w:p>
      <w:r>
        <w:t>Answer: b</w:t>
      </w:r>
    </w:p>
    <w:p>
      <w:r>
        <w:t>Solution: The Nagler test (using alpha-antitoxin on one half of egg yolk agar) demonstrating opalescence only on the non-antitoxin side indicates Clostridium perfringens Type A, which produces alpha-toxin (phospholipase C). The alpha-toxin causes the lecithinase reaction (opalescence), which is inhibited by specific antitoxin. Type B produces alpha and beta toxins but is rare. Type A is the most common cause of gas gangrene and food poisoning. The hemolytic zones support C. perfringens. Nagler agar with antitoxin is the gold standard for presumptive identification. Memory aid: 'Nagler = identifies alpha-toxin (Type A) via antitoxin inhibition'</w:t>
      </w:r>
    </w:p>
    <w:p>
      <w:r>
        <w:t>Positive Marks: 1</w:t>
      </w:r>
    </w:p>
    <w:p>
      <w:r>
        <w:t>Negative Marks: 0.33</w:t>
      </w:r>
    </w:p>
    <w:p>
      <w:r>
        <w:t>Question: A healthcare worker exposed to a TB patient converts from tuberculin-negative to tuberculin-positive status. This seroconversion indicates which of the following?</w:t>
      </w:r>
    </w:p>
    <w:p>
      <w:r>
        <w:t>(a) Latent TB infection has occurred</w:t>
      </w:r>
    </w:p>
    <w:p>
      <w:r>
        <w:t>(b) Immunity to TB has been acquired</w:t>
      </w:r>
    </w:p>
    <w:p>
      <w:r>
        <w:t>(c) Active TB disease has developed</w:t>
      </w:r>
    </w:p>
    <w:p>
      <w:r>
        <w:t>(d) The person will definitely develop active TB within 1 year</w:t>
      </w:r>
    </w:p>
    <w:p>
      <w:r>
        <w:t>Answer: a</w:t>
      </w:r>
    </w:p>
    <w:p>
      <w:r>
        <w:t>Solution: Tuberculin seroconversion (Mantoux test conversion from negative to positive) indicates latent TB infection where M. tuberculosis has colonized the lungs but is contained by immune responses. It does NOT confirm active disease. Not all latent infections progress to active TB (approximately 5-10% lifetime risk). Immunity is not achieved as TB does not confer protective immunity. DISTINCTION: 'Conversion = Latent TB; Active TB requires clinical/radiological evidence.'</w:t>
      </w:r>
    </w:p>
    <w:p>
      <w:r>
        <w:t>Positive Marks: 1</w:t>
      </w:r>
    </w:p>
    <w:p>
      <w:r>
        <w:t>Negative Marks: 0.33</w:t>
      </w:r>
    </w:p>
    <w:p>
      <w:r>
        <w:t>Question: Which type of culture media allows differentiation of bacteria based on biochemical characteristics and metabolic properties?</w:t>
      </w:r>
    </w:p>
    <w:p>
      <w:r>
        <w:t>(a) Differential media</w:t>
      </w:r>
    </w:p>
    <w:p>
      <w:r>
        <w:t>(b) Enriched selective media</w:t>
      </w:r>
    </w:p>
    <w:p>
      <w:r>
        <w:t>(c) Minimal media</w:t>
      </w:r>
    </w:p>
    <w:p>
      <w:r>
        <w:t>(d) Enriched media</w:t>
      </w:r>
    </w:p>
    <w:p>
      <w:r>
        <w:t>Answer: a</w:t>
      </w:r>
    </w:p>
    <w:p>
      <w:r>
        <w:t>Solution: Differential media contain indicators (chromogenic dyes, proteins, blood) that display different reactions based on bacterial biochemical activity. Blood agar shows hemolysis patterns; MacConkey shows lactose fermentation (pink vs colorless); Löeffler's medium shows metachromatic granules. Enriched media provide nutrients but don't differentiate; selective media inhibit unwanted organisms; minimal media contain only essential nutrients. Differential media are essential for presumptive bacterial identification in clinical laboratories.</w:t>
      </w:r>
    </w:p>
    <w:p>
      <w:r>
        <w:t>Positive Marks: 1</w:t>
      </w:r>
    </w:p>
    <w:p>
      <w:r>
        <w:t>Negative Marks: 0.33</w:t>
      </w:r>
    </w:p>
    <w:p>
      <w:r>
        <w:t>Question: A child meets the following criteria: fever for 3 days, maculopapular rash for 3 days, cough, coryza, and conjunctivitis. Koplik spots were observed during the febrile phase. Which is the correct case definition for measles being reported?</w:t>
      </w:r>
    </w:p>
    <w:p>
      <w:r>
        <w:t>(a) Suspected case only</w:t>
      </w:r>
    </w:p>
    <w:p>
      <w:r>
        <w:t>(b) Probable case</w:t>
      </w:r>
    </w:p>
    <w:p>
      <w:r>
        <w:t>(c) Non-case</w:t>
      </w:r>
    </w:p>
    <w:p>
      <w:r>
        <w:t>(d) Confirmed case</w:t>
      </w:r>
    </w:p>
    <w:p>
      <w:r>
        <w:t>Answer: d</w:t>
      </w:r>
    </w:p>
    <w:p>
      <w:r>
        <w:t>Solution: According to the WHO and Indian case definition for measles surveillance, the presence of Koplik spots is considered pathognomonic and confirms measles diagnosis even without laboratory testing. A confirmed case is defined as: fever and maculopapular rash for ≥3 days plus one of the 3Cs (cough, coryza, conjunctivitis) OR presence of Koplik spots. This child meets the criteria for a confirmed measles case. Suspected cases lack Koplik spots or laboratory confirmation. Accurate case classification is crucial for public health reporting and surveillance activities in nursing roles.</w:t>
      </w:r>
    </w:p>
    <w:p>
      <w:r>
        <w:t>Positive Marks: 1</w:t>
      </w:r>
    </w:p>
    <w:p>
      <w:r>
        <w:t>Negative Marks: 0.33</w:t>
      </w:r>
    </w:p>
    <w:p>
      <w:r>
        <w:t>Question: Which morphological feature most reliably distinguishes Entamoeba histolytica trophozoites from Entamoeba coli?</w:t>
      </w:r>
    </w:p>
    <w:p>
      <w:r>
        <w:t>(a) Larger size (25-35 μm) with irregular movement</w:t>
      </w:r>
    </w:p>
    <w:p>
      <w:r>
        <w:t>(b) Presence of chromatoid bodies in all trophozoite stages</w:t>
      </w:r>
    </w:p>
    <w:p>
      <w:r>
        <w:t>(c) Multiple nuclei with eccentric karyosome</w:t>
      </w:r>
    </w:p>
    <w:p>
      <w:r>
        <w:t>(d) Smaller size (10-20 μm), single nucleus with central karyosome, and ingested RBCs in cytoplasm</w:t>
      </w:r>
    </w:p>
    <w:p>
      <w:r>
        <w:t>Answer: d</w:t>
      </w:r>
    </w:p>
    <w:p>
      <w:r>
        <w:t>Solution: E. histolytica trophozoites are smaller (10-20 μm), contain a single nucleus with a centrally located karyosome, and characteristically show ingested red blood cells in their cytoplasm. E. coli is larger (20-30 μm) with eccentric nuclear karyosome and no RBC ingestion. The presence of RBCs in cytoplasm (hemolysis) is the pathognomonic feature of E. histolytica.</w:t>
      </w:r>
    </w:p>
    <w:p>
      <w:r>
        <w:t>Positive Marks: 1</w:t>
      </w:r>
    </w:p>
    <w:p>
      <w:r>
        <w:t>Negative Marks: 0.33</w:t>
      </w:r>
    </w:p>
    <w:p>
      <w:r>
        <w:t>Question: Which of the following is the correct storage temperature range for most inactivated vaccines in a cold chain?</w:t>
      </w:r>
    </w:p>
    <w:p>
      <w:r>
        <w:t>(a) 15°C to 25°C</w:t>
      </w:r>
    </w:p>
    <w:p>
      <w:r>
        <w:t>(b) 2°C to 8°C</w:t>
      </w:r>
    </w:p>
    <w:p>
      <w:r>
        <w:t>(c) -20°C to -25°C</w:t>
      </w:r>
    </w:p>
    <w:p>
      <w:r>
        <w:t>(d) 0°C to 4°C</w:t>
      </w:r>
    </w:p>
    <w:p>
      <w:r>
        <w:t>Answer: b</w:t>
      </w:r>
    </w:p>
    <w:p>
      <w:r>
        <w:t>Solution: Most inactivated vaccines require storage at 2°C to 8°C in a refrigerator. Option D (0°C to 4°C) is too cold and risks freezing sensitive vaccines like hepatitis B and diphtheria toxoid. Option C is for frozen storage of select live vaccines. Option A is room temperature, which degrades vaccine potency. This is a fundamental cold chain principle emphasized in INC syllabus.</w:t>
      </w:r>
    </w:p>
    <w:p>
      <w:r>
        <w:t>Positive Marks: 1</w:t>
      </w:r>
    </w:p>
    <w:p>
      <w:r>
        <w:t>Negative Marks: 0.33</w:t>
      </w:r>
    </w:p>
    <w:p>
      <w:r>
        <w:t>Question: For flash (unwrapped) sterilization of instruments in steam autoclaves, the standard parameters are:</w:t>
      </w:r>
    </w:p>
    <w:p>
      <w:r>
        <w:t>(a) 121°C for 15-30 minutes at 15 psi</w:t>
      </w:r>
    </w:p>
    <w:p>
      <w:r>
        <w:t>(b) 132°C for 3-10 minutes at 30 psi</w:t>
      </w:r>
    </w:p>
    <w:p>
      <w:r>
        <w:t>(c) 121°C for 3-10 minutes at 15 psi</w:t>
      </w:r>
    </w:p>
    <w:p>
      <w:r>
        <w:t>(d) 150°C for 5 minutes at 20 psi</w:t>
      </w:r>
    </w:p>
    <w:p>
      <w:r>
        <w:t>Answer: b</w:t>
      </w:r>
    </w:p>
    <w:p>
      <w:r>
        <w:t>Solution: Flash sterilization uses higher temperature (132°C), shorter time (3-10 min), higher pressure (30 psi) for unwrapped items requiring immediate use. Option A is standard for wrapped instruments (not flash). Option C mixes parameters incorrectly. Option D exceeds safe autoclave limits. Flash sterilization is a compromise between infection control and operational urgency—the high temperature compensates for lack of protective wrapping.</w:t>
      </w:r>
    </w:p>
    <w:p>
      <w:r>
        <w:t>Positive Marks: 1</w:t>
      </w:r>
    </w:p>
    <w:p>
      <w:r>
        <w:t>Negative Marks: 0.33</w:t>
      </w:r>
    </w:p>
    <w:p>
      <w:r>
        <w:t>Question: Which of the following is a characteristic feature of P. vivax malaria?</w:t>
      </w:r>
    </w:p>
    <w:p>
      <w:r>
        <w:t>(a) High parasitemia (up to 25% RBCs)</w:t>
      </w:r>
    </w:p>
    <w:p>
      <w:r>
        <w:t>(b) Relapses occur due to hypnozoites in the liver</w:t>
      </w:r>
    </w:p>
    <w:p>
      <w:r>
        <w:t>(c) Gametocytes appear after 10-14 days of fever onset</w:t>
      </w:r>
    </w:p>
    <w:p>
      <w:r>
        <w:t>(d) Commonly causes cerebral malaria</w:t>
      </w:r>
    </w:p>
    <w:p>
      <w:r>
        <w:t>Answer: b</w:t>
      </w:r>
    </w:p>
    <w:p>
      <w:r>
        <w:t>Solution: P. vivax causes relapses due to hypnozoites (dormant pre-erythrocytic forms) in hepatocytes, reactivating weeks to months later. High parasitemia and cerebral malaria are P. falciparum features. P. vivax gametocytes appear earlier (3-4 days). Primaquine targets hypnozoites for radical cure. Mnemonic: Vivax = Vivacious relapses.</w:t>
      </w:r>
    </w:p>
    <w:p>
      <w:r>
        <w:t>Positive Marks: 1</w:t>
      </w:r>
    </w:p>
    <w:p>
      <w:r>
        <w:t>Negative Marks: 0.33</w:t>
      </w:r>
    </w:p>
    <w:p>
      <w:r>
        <w:t>Question: Which of the following statements about Haemophilus influenzae type b epidemiology is correct in countries with routine Hib vaccination programs?</w:t>
      </w:r>
    </w:p>
    <w:p>
      <w:r>
        <w:t>(a) Invasive Hib disease has been virtually eliminated in vaccinated populations with &gt;95% reduction in incidence</w:t>
      </w:r>
    </w:p>
    <w:p>
      <w:r>
        <w:t>(b) Hib vaccine protects only against respiratory infections, not meningitis</w:t>
      </w:r>
    </w:p>
    <w:p>
      <w:r>
        <w:t>(c) All strains of H. influenzae are equally preventable by Hib vaccine</w:t>
      </w:r>
    </w:p>
    <w:p>
      <w:r>
        <w:t>(d) Incidence remains unchanged as vaccine provides partial immunity</w:t>
      </w:r>
    </w:p>
    <w:p>
      <w:r>
        <w:t>Answer: a</w:t>
      </w:r>
    </w:p>
    <w:p>
      <w:r>
        <w:t>Solution: Routine Hib conjugate vaccination has reduced invasive Hib disease by &gt;95% in vaccinated populations, making it one of the most successful vaccines. Option 'a' is incorrect as vaccines provide excellent protection. Option 'c' is wrong because Hib vaccine prevents both respiratory and invasive (meningitis, bacteremia) disease. Option 'd' is incorrect because vaccine targets only encapsulated type b, not non-typeable or other types. This represents one of the major successes in pediatric vaccination programs.</w:t>
      </w:r>
    </w:p>
    <w:p>
      <w:r>
        <w:t>Positive Marks: 1</w:t>
      </w:r>
    </w:p>
    <w:p>
      <w:r>
        <w:t>Negative Marks: 0.33</w:t>
      </w:r>
    </w:p>
    <w:p>
      <w:r>
        <w:t>Question: Which combination of specimen collection and transport conditions would be MOST likely to result in isolation of BOTH aerobic AND anaerobic pathogens from a polymicrobial wound infection?</w:t>
      </w:r>
    </w:p>
    <w:p>
      <w:r>
        <w:t>(a) A. Single swab in aerobic transport medium kept at 35°C for 4 hours</w:t>
      </w:r>
    </w:p>
    <w:p>
      <w:r>
        <w:t>(b) B. Pus aspirated into a sterile syringe with needle removed, sent in a sealed anaerobic transport container at room temperature within 30 minutes</w:t>
      </w:r>
    </w:p>
    <w:p>
      <w:r>
        <w:t>(c) C. Surface swab in Stuart's medium with simultaneous collection of deep swab in anaerobic medium</w:t>
      </w:r>
    </w:p>
    <w:p>
      <w:r>
        <w:t>(d) D. Homogenized tissue sample in 0.85% saline without transport media</w:t>
      </w:r>
    </w:p>
    <w:p>
      <w:r>
        <w:t>Answer: c</w:t>
      </w:r>
    </w:p>
    <w:p>
      <w:r>
        <w:t>Solution: Polymicrobial wound infections require SEPARATE collections: surface swab for aerobes (in Stuart's medium) AND deep wound material for anaerobes (in anaerobic medium). This dual approach ensures recovery of both organism types. Option A recovers only aerobes. Option B recovers anaerobes but misses aerobes. Option D lacks proper transport. Option D is suboptimal. Strategy: Polymicrobial = multiple collections in appropriate media. Key principle: Separate sites/media for aerobes and anaerobes in mixed infections.</w:t>
      </w:r>
    </w:p>
    <w:p>
      <w:r>
        <w:t>Positive Marks: 1</w:t>
      </w:r>
    </w:p>
    <w:p>
      <w:r>
        <w:t>Negative Marks: 0.33</w:t>
      </w:r>
    </w:p>
    <w:p>
      <w:r>
        <w:t>Question: Which of the following organisms is characteristically an endospore-forming bacterium?</w:t>
      </w:r>
    </w:p>
    <w:p>
      <w:r>
        <w:t>(a) Streptococcus pneumoniae</w:t>
      </w:r>
    </w:p>
    <w:p>
      <w:r>
        <w:t>(b) Vibrio parahaemolyticus</w:t>
      </w:r>
    </w:p>
    <w:p>
      <w:r>
        <w:t>(c) Clostridium tetani</w:t>
      </w:r>
    </w:p>
    <w:p>
      <w:r>
        <w:t>(d) Neisseria gonorrhoeae</w:t>
      </w:r>
    </w:p>
    <w:p>
      <w:r>
        <w:t>Answer: c</w:t>
      </w:r>
    </w:p>
    <w:p>
      <w:r>
        <w:t>Solution: Clostridium tetani is a Gram-positive rod that produces endospores, characteristically in a terminal position giving the cell a 'drumstick' appearance when observed microscopically. Neisseria gonorrhoeae is a Gram-negative diplococcus, Vibrio parahaemolyticus is a Gram-negative comma-shaped bacterium, and Streptococcus pneumoniae is a Gram-positive diplococcus. Endospore-forming ability is a critical morphological and physiological feature of Clostridium and Bacillus species, making them highly resistant to environmental stresses and relevant to sterilization procedures in nursing practice.</w:t>
      </w:r>
    </w:p>
    <w:p>
      <w:r>
        <w:t>Positive Marks: 1</w:t>
      </w:r>
    </w:p>
    <w:p>
      <w:r>
        <w:t>Negative Marks: 0.33</w:t>
      </w:r>
    </w:p>
    <w:p>
      <w:r>
        <w:t>Question: Immune reconstitution inflammatory syndrome (IRIS) occurs in severely immunosuppressed patients shortly after starting antiretroviral therapy. What best explains the pathophysiological mechanism?</w:t>
      </w:r>
    </w:p>
    <w:p>
      <w:r>
        <w:t>(a) Allergic hypersensitivity reaction to antiretroviral drugs causing systemic inflammation</w:t>
      </w:r>
    </w:p>
    <w:p>
      <w:r>
        <w:t>(b) Direct toxicity of antiretroviral drugs on lymphocyte populations</w:t>
      </w:r>
    </w:p>
    <w:p>
      <w:r>
        <w:t>(c) Inadequate viral suppression leading to persistent uncontrolled viral replication</w:t>
      </w:r>
    </w:p>
    <w:p>
      <w:r>
        <w:t>(d) Paradoxical inflammatory response as immune function recovers and recognizes chronic opportunistic pathogen antigens</w:t>
      </w:r>
    </w:p>
    <w:p>
      <w:r>
        <w:t>Answer: d</w:t>
      </w:r>
    </w:p>
    <w:p>
      <w:r>
        <w:t>Solution: IRIS is a paradoxical clinical worsening occurring when severely immunosuppressed patients (CD4 &lt;50) initiate ART and experience rapid immune reconstitution. As CD4 counts recover over days to weeks, the reconstituting immune system mounts strong inflammatory responses against opportunistic infections or their antigens, causing fever, inflammation, and sometimes organ involvement. Common IRIS triggers include tuberculosis, CMV, and MAC. IRIS is distinct from treatment failure (ongoing viral replication), drug allergy, or toxicity. Management involves continuing ART to allow immune recovery, treating underlying OI, and sometimes using corticosteroids. Early recognition requires understanding baseline CD4 count, CD4 trajectory, and temporal correlation with ART initiation. IRIS is a sign of immune recovery and generally does not require stopping ART—doing so worsens outcomes.</w:t>
      </w:r>
    </w:p>
    <w:p>
      <w:r>
        <w:t>Positive Marks: 1</w:t>
      </w:r>
    </w:p>
    <w:p>
      <w:r>
        <w:t>Negative Marks: 0.33</w:t>
      </w:r>
    </w:p>
    <w:p>
      <w:r>
        <w:t>Question: In a clinical scenario, a health care worker exposed to hepatitis B receives hepatitis B immunoglobulin (HBIG) immediately after needle-stick injury. What is the rationale for this intervention?</w:t>
      </w:r>
    </w:p>
    <w:p>
      <w:r>
        <w:t>(a) To prevent all forms of hepatitis B transmission</w:t>
      </w:r>
    </w:p>
    <w:p>
      <w:r>
        <w:t>(b) To boost existing antibodies from previous vaccination</w:t>
      </w:r>
    </w:p>
    <w:p>
      <w:r>
        <w:t>(c) To induce active immunity against hepatitis B</w:t>
      </w:r>
    </w:p>
    <w:p>
      <w:r>
        <w:t>(d) To provide passive immunity while active immunity is being generated</w:t>
      </w:r>
    </w:p>
    <w:p>
      <w:r>
        <w:t>Answer: d</w:t>
      </w:r>
    </w:p>
    <w:p>
      <w:r>
        <w:t>Solution: HBIG provides immediate passive immunity (pre-formed antibodies) providing temporary protection, while simultaneous hepatitis B vaccination stimulates active immunity development (takes 2-4 weeks). This combination offers immediate protection and long-term immunity. HBIG alone doesn't provide lasting protection. It doesn't prevent all transmission if viral load is high. It's not a booster but rather immediate defense while active response develops. This is post-exposure prophylaxis strategy combining passive and active immunity.</w:t>
      </w:r>
    </w:p>
    <w:p>
      <w:r>
        <w:t>Positive Marks: 1</w:t>
      </w:r>
    </w:p>
    <w:p>
      <w:r>
        <w:t>Negative Marks: 0.33</w:t>
      </w:r>
    </w:p>
    <w:p>
      <w:r>
        <w:t>Question: Which hepatitis virus is most effectively prevented by vaccination in nursing practice?</w:t>
      </w:r>
    </w:p>
    <w:p>
      <w:r>
        <w:t>(a) Hepatitis A and B</w:t>
      </w:r>
    </w:p>
    <w:p>
      <w:r>
        <w:t>(b) Hepatitis B and C</w:t>
      </w:r>
    </w:p>
    <w:p>
      <w:r>
        <w:t>(c) Hepatitis C and D</w:t>
      </w:r>
    </w:p>
    <w:p>
      <w:r>
        <w:t>(d) Hepatitis D and E</w:t>
      </w:r>
    </w:p>
    <w:p>
      <w:r>
        <w:t>Answer: a</w:t>
      </w:r>
    </w:p>
    <w:p>
      <w:r>
        <w:t>Solution: Effective vaccines exist for Hepatitis A (inactivated virus) and Hepatitis B (recombinant surface antigen), both recommended for healthcare workers. HAV vaccine provides lifelong immunity with 2-dose series. HBV vaccine series offers 95% protection. No vaccines currently exist for HCV, HDV (though HBV vaccine prevents HDV), or HEV globally, though HEV vaccine is available in some countries. For nurses, HAV and HBV vaccination form essential occupational health protocols to prevent needle-stick and exposure-related infections.</w:t>
      </w:r>
    </w:p>
    <w:p>
      <w:r>
        <w:t>Positive Marks: 1</w:t>
      </w:r>
    </w:p>
    <w:p>
      <w:r>
        <w:t>Negative Marks: 0.33</w:t>
      </w:r>
    </w:p>
    <w:p>
      <w:r>
        <w:t>Question: Leishmania tropica is primarily responsible for which type of leishmaniasis?</w:t>
      </w:r>
    </w:p>
    <w:p>
      <w:r>
        <w:t>(a) Cutaneous leishmaniasis (Oriental sore)</w:t>
      </w:r>
    </w:p>
    <w:p>
      <w:r>
        <w:t>(b) Post-kala-azar dermal leishmaniasis</w:t>
      </w:r>
    </w:p>
    <w:p>
      <w:r>
        <w:t>(c) Visceral leishmaniasis (Kala-azar)</w:t>
      </w:r>
    </w:p>
    <w:p>
      <w:r>
        <w:t>(d) Mucocutaneous leishmaniasis</w:t>
      </w:r>
    </w:p>
    <w:p>
      <w:r>
        <w:t>Answer: a</w:t>
      </w:r>
    </w:p>
    <w:p>
      <w:r>
        <w:t>Solution: L. tropica causes cutaneous leishmaniasis known as Oriental sore or Aleppo boil presenting as painless ulcers. L. donovani causes visceral form. L. braziliensis causes mucocutaneous disease. PKDL occurs as a sequel to visceral infection. Geographic and clinical presentation patterns distinguish these forms.</w:t>
      </w:r>
    </w:p>
    <w:p>
      <w:r>
        <w:t>Positive Marks: 1</w:t>
      </w:r>
    </w:p>
    <w:p>
      <w:r>
        <w:t>Negative Marks: 0.33</w:t>
      </w:r>
    </w:p>
    <w:p>
      <w:r>
        <w:t>Question: According to HICC standards, what is the MINIMUM required documentation that should be maintained for each investigated infection outbreak?</w:t>
      </w:r>
    </w:p>
    <w:p>
      <w:r>
        <w:t>(a) Case definitions used, number of cases identified, epidemiological investigation findings, source identified/controlled, preventive measures implemented, and follow-up surveillance results</w:t>
      </w:r>
    </w:p>
    <w:p>
      <w:r>
        <w:t>(b) Only a brief note that an outbreak occurred</w:t>
      </w:r>
    </w:p>
    <w:p>
      <w:r>
        <w:t>(c) Names of all affected patients without any clinical details</w:t>
      </w:r>
    </w:p>
    <w:p>
      <w:r>
        <w:t>(d) Only the total number of infections without any investigation details</w:t>
      </w:r>
    </w:p>
    <w:p>
      <w:r>
        <w:t>Answer: a</w:t>
      </w:r>
    </w:p>
    <w:p>
      <w:r>
        <w:t>Solution: Comprehensive outbreak documentation provides evidence of systematic investigation and allows review of control effectiveness. Required elements include case definition (ensures consistent case identification), case count, epi findings (source/vehicle), control measures implemented, and follow-up data proving control. Option B lacks detail for quality audits. Option C violates privacy and lacks clinical information. Option D provides no actionable data. Documentation serves multiple purposes: legal protection, quality improvement, staff education, and future reference if similar outbreaks occur. Detailed records enable the hospital to demonstrate due diligence and learn from each investigation. This documentation is critical during accreditation audits.</w:t>
      </w:r>
    </w:p>
    <w:p>
      <w:r>
        <w:t>Positive Marks: 1</w:t>
      </w:r>
    </w:p>
    <w:p>
      <w:r>
        <w:t>Negative Marks: 0.33</w:t>
      </w:r>
    </w:p>
    <w:p>
      <w:r>
        <w:t>Question: Bacterial inclusion bodies primarily function as:</w:t>
      </w:r>
    </w:p>
    <w:p>
      <w:r>
        <w:t>(a) Sites for ribosomal protein synthesis</w:t>
      </w:r>
    </w:p>
    <w:p>
      <w:r>
        <w:t>(b) Components of the cell wall structure</w:t>
      </w:r>
    </w:p>
    <w:p>
      <w:r>
        <w:t>(c) Channels for lipid transport</w:t>
      </w:r>
    </w:p>
    <w:p>
      <w:r>
        <w:t>(d) Storage structures containing glycogen, polyhydroxybutyrate, and other reserve materials</w:t>
      </w:r>
    </w:p>
    <w:p>
      <w:r>
        <w:t>Answer: d</w:t>
      </w:r>
    </w:p>
    <w:p>
      <w:r>
        <w:t>Solution: Inclusion bodies are intracytoplasmic storage structures containing reserve materials such as glycogen, polyhydroxybutyrate (PHB), polyphosphate, sulfur, or iron compounds depending on bacterial species. Ribosomes are separate structures for protein synthesis. Inclusion bodies are not cell wall components. They function during nutrient starvation. Common inclusions include metachromatic granules (polyphosphate), lipid droplets, and protein crystals. MNEMONIC: Inclusion bodies = 'inside storage units' = food reserves for hard times.</w:t>
      </w:r>
    </w:p>
    <w:p>
      <w:r>
        <w:t>Positive Marks: 1</w:t>
      </w:r>
    </w:p>
    <w:p>
      <w:r>
        <w:t>Negative Marks: 0.33</w:t>
      </w:r>
    </w:p>
    <w:p>
      <w:r>
        <w:t>Question: Which biotype of Vibrio cholerae is currently responsible for pandemic cholera worldwide?</w:t>
      </w:r>
    </w:p>
    <w:p>
      <w:r>
        <w:t>(a) El Tor biotype since 1961 (seventh pandemic)</w:t>
      </w:r>
    </w:p>
    <w:p>
      <w:r>
        <w:t>(b) Classical biotype continuing since 1817</w:t>
      </w:r>
    </w:p>
    <w:p>
      <w:r>
        <w:t>(c) Hybrid El Tor-O139 biotype emerging in the 1990s</w:t>
      </w:r>
    </w:p>
    <w:p>
      <w:r>
        <w:t>(d) Ogawa variant strain with enhanced virulence</w:t>
      </w:r>
    </w:p>
    <w:p>
      <w:r>
        <w:t>Answer: a</w:t>
      </w:r>
    </w:p>
    <w:p>
      <w:r>
        <w:t>Solution: The El Tor biotype initiated the seventh cholera pandemic in 1961 and continues to cause pandemics globally. The Classical biotype (1817-1923) caused earlier pandemics but is now rare/extinct. O139 is a serogroup, not biotype, which emerged in 1992 but hasn't completely replaced El Tor. Ogawa is a serotype designation, not biotype. El Tor's ability to survive in water and tolerate bile makes it pandemic-prone and epidemiologically dominant.</w:t>
      </w:r>
    </w:p>
    <w:p>
      <w:r>
        <w:t>Positive Marks: 1</w:t>
      </w:r>
    </w:p>
    <w:p>
      <w:r>
        <w:t>Negative Marks: 0.33</w:t>
      </w:r>
    </w:p>
    <w:p>
      <w:r>
        <w:t>Question: A patient with primary syphilis has positive RPR and positive FTA-ABS tests. Three years after adequate penicillin treatment, RPR becomes negative but FTA-ABS remains positive. This indicates:</w:t>
      </w:r>
    </w:p>
    <w:p>
      <w:r>
        <w:t>(a) Successful treatment with persistent treponemal antibodies as marker of previous infection</w:t>
      </w:r>
    </w:p>
    <w:p>
      <w:r>
        <w:t>(b) Treatment failure and need for retreatment with higher doses</w:t>
      </w:r>
    </w:p>
    <w:p>
      <w:r>
        <w:t>(c) Development of biologic false-positive reagin antibodies from another disease</w:t>
      </w:r>
    </w:p>
    <w:p>
      <w:r>
        <w:t>(d) Persistent active infection despite negative RPR result</w:t>
      </w:r>
    </w:p>
    <w:p>
      <w:r>
        <w:t>Answer: a</w:t>
      </w:r>
    </w:p>
    <w:p>
      <w:r>
        <w:t>Solution: FTA-ABS remains permanently positive after successful treatment (lifelong marker of previous T. pallidum exposure); RPR/VDRL typically become negative 12-24 months post-successful treatment indicating cure and falling antibody titers. The combination of negative RPR with persistent positive FTA-ABS is expected and represents treatment success. Option B is incorrect as patient demonstrates serological cure. Options B and D misinterpret the pattern. Prognostic memory: 'Post-treatment: RPR negative; FTA-ABS stays positive = cured, not infected.'</w:t>
      </w:r>
    </w:p>
    <w:p>
      <w:r>
        <w:t>Positive Marks: 1</w:t>
      </w:r>
    </w:p>
    <w:p>
      <w:r>
        <w:t>Negative Marks: 0.33</w:t>
      </w:r>
    </w:p>
    <w:p>
      <w:r>
        <w:t>Question: The gold standard laboratory method for diagnosing dermatophyte infections is:</w:t>
      </w:r>
    </w:p>
    <w:p>
      <w:r>
        <w:t>(a) Direct microscopy with India ink preparation</w:t>
      </w:r>
    </w:p>
    <w:p>
      <w:r>
        <w:t>(b) KOH mount examination and culture on Sabouraud dextrose agar</w:t>
      </w:r>
    </w:p>
    <w:p>
      <w:r>
        <w:t>(c) Blood culture and serological testing</w:t>
      </w:r>
    </w:p>
    <w:p>
      <w:r>
        <w:t>(d) Gram staining of skin scrapings</w:t>
      </w:r>
    </w:p>
    <w:p>
      <w:r>
        <w:t>Answer: b</w:t>
      </w:r>
    </w:p>
    <w:p>
      <w:r>
        <w:t>Solution: KOH (Potassium Hydroxide) mount preparation clears cellular material and allows visualization of fungal elements under microscopy, while culture on Sabouraud dextrose agar (SDA) or Dermatophyte Test Medium (DTM) provides definitive identification. KOH has 60-80% sensitivity. Option a (India ink) is used for cryptococcus, not dermatophytes. Option c (blood culture) is inappropriate for superficial infections. Option d (Gram staining) doesn't visualize fungal elements well. Key: Culture is essential for species identification and guides treatment.</w:t>
      </w:r>
    </w:p>
    <w:p>
      <w:r>
        <w:t>Positive Marks: 1</w:t>
      </w:r>
    </w:p>
    <w:p>
      <w:r>
        <w:t>Negative Marks: 0.33</w:t>
      </w:r>
    </w:p>
    <w:p>
      <w:r>
        <w:t>Question: Membrane filtration sterilization using 0.22 micrometer pore size filters is most appropriate for sterilizing which substances?</w:t>
      </w:r>
    </w:p>
    <w:p>
      <w:r>
        <w:t>(a) Proteins and macromolecules in dry powder or crystalline form</w:t>
      </w:r>
    </w:p>
    <w:p>
      <w:r>
        <w:t>(b) Bacterial cultures and viruses larger than 0.22 micrometers</w:t>
      </w:r>
    </w:p>
    <w:p>
      <w:r>
        <w:t>(c) Oils, fats, and lipid-based pharmaceutical suspensions</w:t>
      </w:r>
    </w:p>
    <w:p>
      <w:r>
        <w:t>(d) Aqueous solutions, antibiotics, vitamins, and heat-labile biologics</w:t>
      </w:r>
    </w:p>
    <w:p>
      <w:r>
        <w:t>Answer: d</w:t>
      </w:r>
    </w:p>
    <w:p>
      <w:r>
        <w:t>Solution: Membrane filtration (0.22 μm) is perfect for heat-sensitive aqueous solutions, antibiotics, vaccines, and biologics that cannot tolerate heat or chemical sterilization. The pore size retains bacteria but allows most viruses through, so it's called 'bacteriological sterilization' rather than true sterilization. Option C (oils/fats) clog and damage filters. Option B contradicts itself. Option A (dry powders) cannot pass through liquid filtration. Used for: Penicillin injections, intravenous fluids, sera. Limitation: Does NOT remove viruses. Advantage: Preserves drug stability and biological activity. Mnemonic: '0.22 μm = passage for heat-sensitive medicines'</w:t>
      </w:r>
    </w:p>
    <w:p>
      <w:r>
        <w:t>Positive Marks: 1</w:t>
      </w:r>
    </w:p>
    <w:p>
      <w:r>
        <w:t>Negative Marks: 0.33</w:t>
      </w:r>
    </w:p>
    <w:p>
      <w:r>
        <w:t>Question: A patient with long-term indwelling urinary catheter develops recurrent UTI. Which organism and specific virulence factor predisposes to catheter biofilm formation?</w:t>
      </w:r>
    </w:p>
    <w:p>
      <w:r>
        <w:t>(a) Proteus with urease activity</w:t>
      </w:r>
    </w:p>
    <w:p>
      <w:r>
        <w:t>(b) Staphylococcus saprophyticus with adherence only</w:t>
      </w:r>
    </w:p>
    <w:p>
      <w:r>
        <w:t>(c) Pseudomonas aeruginosa with pili production</w:t>
      </w:r>
    </w:p>
    <w:p>
      <w:r>
        <w:t>(d) Klebsiella pneumoniae with fimbriae and polysaccharide capsule</w:t>
      </w:r>
    </w:p>
    <w:p>
      <w:r>
        <w:t>Answer: c</w:t>
      </w:r>
    </w:p>
    <w:p>
      <w:r>
        <w:t>Solution: Pseudomonas aeruginosa is the classic biofilm former in catheter-associated UTIs, using Type IV pili for initial surface attachment followed by exopolysaccharide (alginate) matrix formation. The biofilm protects bacteria from antibiotics and immune attack. While Klebsiella fimbriae aid adhesion and Proteus urease promotes encrustation, P. aeruginosa biofilm formation is most clinically problematic in catheterized patients requiring prolonged catheter changes.</w:t>
      </w:r>
    </w:p>
    <w:p>
      <w:r>
        <w:t>Positive Marks: 1</w:t>
      </w:r>
    </w:p>
    <w:p>
      <w:r>
        <w:t>Negative Marks: 0.33</w:t>
      </w:r>
    </w:p>
    <w:p>
      <w:r>
        <w:t>Question: Why is the addition of X and V factors important in chocolate agar for isolation of Haemophilus influenzae?</w:t>
      </w:r>
    </w:p>
    <w:p>
      <w:r>
        <w:t>(a) They provide color and enhance colony morphology observation</w:t>
      </w:r>
    </w:p>
    <w:p>
      <w:r>
        <w:t>(b) X factor (hemin) and V factor (NAD) are growth requirements for fastidious organisms like H. influenzae that cannot synthesize these cofactors</w:t>
      </w:r>
    </w:p>
    <w:p>
      <w:r>
        <w:t>(c) They inhibit competing bacteria while promoting Haemophilus growth</w:t>
      </w:r>
    </w:p>
    <w:p>
      <w:r>
        <w:t>(d) They increase the osmotic pressure suitable for fastidious organisms</w:t>
      </w:r>
    </w:p>
    <w:p>
      <w:r>
        <w:t>Answer: b</w:t>
      </w:r>
    </w:p>
    <w:p>
      <w:r>
        <w:t>Solution: Chocolate agar (blood agar heated until chocolate-colored) releases X (hemin from hemoglobin) and V (NAD from RBCs) factors that are essential nutrients for Haemophilus species, which are fastidious and unable to synthesize these cofactors independently. Option A (color) is incidental. Option C (selective inhibition) is incorrect—these factors support growth. Option D (osmotic pressure) is unrelated. The X and V factor supplementation specifically addresses the nutritional requirements of fastidious Gram-negative rods essential for respiratory infections.</w:t>
      </w:r>
    </w:p>
    <w:p>
      <w:r>
        <w:t>Positive Marks: 1</w:t>
      </w:r>
    </w:p>
    <w:p>
      <w:r>
        <w:t>Negative Marks: 0.33</w:t>
      </w:r>
    </w:p>
    <w:p>
      <w:r>
        <w:t>Question: Which of the following is the MOST characteristic finding in Systemic Lupus Erythematosus (SLE)?</w:t>
      </w:r>
    </w:p>
    <w:p>
      <w:r>
        <w:t>(a) Positive rheumatoid factor in all patients</w:t>
      </w:r>
    </w:p>
    <w:p>
      <w:r>
        <w:t>(b) Positive antinuclear antibodies</w:t>
      </w:r>
    </w:p>
    <w:p>
      <w:r>
        <w:t>(c) Negative antinuclear antibodies</w:t>
      </w:r>
    </w:p>
    <w:p>
      <w:r>
        <w:t>(d) Anemia in &lt;50% of patients</w:t>
      </w:r>
    </w:p>
    <w:p>
      <w:r>
        <w:t>Answer: b</w:t>
      </w:r>
    </w:p>
    <w:p>
      <w:r>
        <w:t>Solution: Positive antinuclear antibodies (ANA) are present in 95-98% of SLE patients and are essential for diagnosis. ANA is highly sensitive (though not specific). Rheumatoid factor is positive in only 20-30% of SLE patients. ANA is absent in &lt;5% of confirmed SLE cases. Anemia is present in 50-70%. Remember: ANA = Almost Always Needed Antibody for SLE diagnosis.</w:t>
      </w:r>
    </w:p>
    <w:p>
      <w:r>
        <w:t>Positive Marks: 1</w:t>
      </w:r>
    </w:p>
    <w:p>
      <w:r>
        <w:t>Negative Marks: 0.33</w:t>
      </w:r>
    </w:p>
    <w:p>
      <w:r>
        <w:t>Question: Which organisms are classified as acid-fast bacilli and resist decolorization with acid-alcohol?</w:t>
      </w:r>
    </w:p>
    <w:p>
      <w:r>
        <w:t>(a) Fungi and protozoa</w:t>
      </w:r>
    </w:p>
    <w:p>
      <w:r>
        <w:t>(b) Gram-negative rods and spirilla</w:t>
      </w:r>
    </w:p>
    <w:p>
      <w:r>
        <w:t>(c) Gram-positive cocci and bacilli</w:t>
      </w:r>
    </w:p>
    <w:p>
      <w:r>
        <w:t>(d) Mycobacterium species and Nocardia</w:t>
      </w:r>
    </w:p>
    <w:p>
      <w:r>
        <w:t>Answer: d</w:t>
      </w:r>
    </w:p>
    <w:p>
      <w:r>
        <w:t>Solution: Mycobacterium species (including M. tuberculosis and M. leprae) and Nocardia are acid-fast bacilli with high lipid content (mycolic acids) in their cell walls that prevent decolorization with acid-alcohol. Gram-positive organisms are decolorized by acid-alcohol. Gram-negative organisms are not acid-fast. Fungi and protozoa do not stain with AFB methods. The acid-fast property is due to the unique waxy, lipid-rich cell wall that has low permeability and high affinity for lipophilic dyes. This property is used diagnostically to identify tuberculosis and leprosy.</w:t>
      </w:r>
    </w:p>
    <w:p>
      <w:r>
        <w:t>Positive Marks: 1</w:t>
      </w:r>
    </w:p>
    <w:p>
      <w:r>
        <w:t>Negative Marks: 0.33</w:t>
      </w:r>
    </w:p>
    <w:p>
      <w:r>
        <w:t>Question: In Type IV hypersensitivity, granuloma formation occurs through which mechanism?</w:t>
      </w:r>
    </w:p>
    <w:p>
      <w:r>
        <w:t>(a) IgG immune complexes depositing in tissues and activating complement</w:t>
      </w:r>
    </w:p>
    <w:p>
      <w:r>
        <w:t>(b) B cell antibody production against structural antigens</w:t>
      </w:r>
    </w:p>
    <w:p>
      <w:r>
        <w:t>(c) Activated macrophages fused together with T cell-produced IL-2 and TNF-alpha, attempting to wall off persistent antigens</w:t>
      </w:r>
    </w:p>
    <w:p>
      <w:r>
        <w:t>(d) Mast cell degranulation releasing histamine and tryptase</w:t>
      </w:r>
    </w:p>
    <w:p>
      <w:r>
        <w:t>Answer: c</w:t>
      </w:r>
    </w:p>
    <w:p>
      <w:r>
        <w:t>Solution: In granulomatous Type IV hypersensitivity (e.g., TB, leprosy, histoplasmosis), Th1 cells secrete IL-2, IFN-gamma, and TNF-alpha, activating macrophages. These activated macrophages fuse into multinucleated giant cells and epithelioid cells surrounding the antigen. Granulomas form as a chronic attempt to contain persistent pathogens. Options b, c, d represent Type III, Type I, and Type II mechanisms respectively. Granulomas are hallmark pathology of Type IV chronic reactions.</w:t>
      </w:r>
    </w:p>
    <w:p>
      <w:r>
        <w:t>Positive Marks: 1</w:t>
      </w:r>
    </w:p>
    <w:p>
      <w:r>
        <w:t>Negative Marks: 0.33</w:t>
      </w:r>
    </w:p>
    <w:p>
      <w:r>
        <w:t>Question: A pre-vacuum (high-pressure, high-temperature) autoclave provides a key advantage over traditional gravity displacement autoclaves in that it:</w:t>
      </w:r>
    </w:p>
    <w:p>
      <w:r>
        <w:t>(a) Better preserves instrument sharpness and functional integrity</w:t>
      </w:r>
    </w:p>
    <w:p>
      <w:r>
        <w:t>(b) Achieves more reliable air removal from dense loads and faster sterilization cycles</w:t>
      </w:r>
    </w:p>
    <w:p>
      <w:r>
        <w:t>(c) Requires significantly lower operating costs and maintenance</w:t>
      </w:r>
    </w:p>
    <w:p>
      <w:r>
        <w:t>(d) Accommodates larger overall load capacities compared to gravity models</w:t>
      </w:r>
    </w:p>
    <w:p>
      <w:r>
        <w:t>Answer: b</w:t>
      </w:r>
    </w:p>
    <w:p>
      <w:r>
        <w:t>Solution: Pre-vacuum autoclaves use active air removal (vacuum phase) ensuring better penetration through dense materials and wrapped items, reducing cycle times to 3-4 minutes versus 15+ minutes for gravity displacement. This is essential for large surgical batches and dense loads. While they may have higher initial cost, operational advantages justify this. Instrument preservation and capacity are not specific advantages; gravity autoclaves work well for smaller institutional volumes.</w:t>
      </w:r>
    </w:p>
    <w:p>
      <w:r>
        <w:t>Positive Marks: 1</w:t>
      </w:r>
    </w:p>
    <w:p>
      <w:r>
        <w:t>Negative Marks: 0.33</w:t>
      </w:r>
    </w:p>
    <w:p>
      <w:r>
        <w:t>Question: What is the characteristic seasonal pattern of dengue transmission in tropical monsoon regions?</w:t>
      </w:r>
    </w:p>
    <w:p>
      <w:r>
        <w:t>(a) Summer months exclusively</w:t>
      </w:r>
    </w:p>
    <w:p>
      <w:r>
        <w:t>(b) Winter months only</w:t>
      </w:r>
    </w:p>
    <w:p>
      <w:r>
        <w:t>(c) Uniform distribution with no seasonal variation</w:t>
      </w:r>
    </w:p>
    <w:p>
      <w:r>
        <w:t>(d) Year-round with peaks during rainy and monsoon seasons</w:t>
      </w:r>
    </w:p>
    <w:p>
      <w:r>
        <w:t>Answer: d</w:t>
      </w:r>
    </w:p>
    <w:p>
      <w:r>
        <w:t>Solution: Dengue shows peak transmission during rainy/monsoon seasons when Aedes breeding increases due to accumulation of stagnant water. In tropical regions with adequate year-round rainfall, dengue occurs throughout the year with seasonal peaks. Seasonal forecasting enables timely vector control interventions. Understanding epidemiological patterns guides public health planning and outbreak prevention.</w:t>
      </w:r>
    </w:p>
    <w:p>
      <w:r>
        <w:t>Positive Marks: 1</w:t>
      </w:r>
    </w:p>
    <w:p>
      <w:r>
        <w:t>Negative Marks: 0.33</w:t>
      </w:r>
    </w:p>
    <w:p>
      <w:r>
        <w:t>Question: Strict contact precautions are mandatory for which condition:</w:t>
      </w:r>
    </w:p>
    <w:p>
      <w:r>
        <w:t>(a) Uncomplicated urinary tract infection</w:t>
      </w:r>
    </w:p>
    <w:p>
      <w:r>
        <w:t>(b) H1N1 pneumonia</w:t>
      </w:r>
    </w:p>
    <w:p>
      <w:r>
        <w:t>(c) Community-acquired pneumonia</w:t>
      </w:r>
    </w:p>
    <w:p>
      <w:r>
        <w:t>(d) MRSA wound infection</w:t>
      </w:r>
    </w:p>
    <w:p>
      <w:r>
        <w:t>Answer: d</w:t>
      </w:r>
    </w:p>
    <w:p>
      <w:r>
        <w:t>Solution: MRSA is transmissible via direct and indirect contact, requiring contact precautions with gloves and gowns. H1N1 pneumonia requires droplet precautions (option b). Community-acquired pneumonia is typically droplet or standard precautions (option c). Uncomplicated UTI requires only standard precautions (option a). Multidrug-resistant organisms like MRSA demand strict contact isolation to prevent cross-contamination in hospitals.</w:t>
      </w:r>
    </w:p>
    <w:p>
      <w:r>
        <w:t>Positive Marks: 1</w:t>
      </w:r>
    </w:p>
    <w:p>
      <w:r>
        <w:t>Negative Marks: 0.33</w:t>
      </w:r>
    </w:p>
    <w:p>
      <w:r>
        <w:t>Question: What is the nature of immunity following natural poliovirus infection?</w:t>
      </w:r>
    </w:p>
    <w:p>
      <w:r>
        <w:t>(a) Absent without reinfection</w:t>
      </w:r>
    </w:p>
    <w:p>
      <w:r>
        <w:t>(b) Cross-protective against all types</w:t>
      </w:r>
    </w:p>
    <w:p>
      <w:r>
        <w:t>(c) Type-specific and lifelong</w:t>
      </w:r>
    </w:p>
    <w:p>
      <w:r>
        <w:t>(d) Non-specific and temporary</w:t>
      </w:r>
    </w:p>
    <w:p>
      <w:r>
        <w:t>Answer: c</w:t>
      </w:r>
    </w:p>
    <w:p>
      <w:r>
        <w:t>Solution: Natural poliovirus infection produces type-specific neutralizing antibodies that provide lifelong immunity against that particular serotype. Immunity is not cross-protective across different serotypes. Re-infection with the same type does not occur due to robust memory immunity. This is why all three serotypes must be included in vaccines for complete protection.</w:t>
      </w:r>
    </w:p>
    <w:p>
      <w:r>
        <w:t>Positive Marks: 1</w:t>
      </w:r>
    </w:p>
    <w:p>
      <w:r>
        <w:t>Negative Marks: 0.33</w:t>
      </w:r>
    </w:p>
    <w:p>
      <w:r>
        <w:t>Question: Which serological tests are used to detect antibodies against Treponema pallidum in syphilis diagnosis?</w:t>
      </w:r>
    </w:p>
    <w:p>
      <w:r>
        <w:t>(a) Coombs and blood typing tests</w:t>
      </w:r>
    </w:p>
    <w:p>
      <w:r>
        <w:t>(b) Widal and Typhidot tests</w:t>
      </w:r>
    </w:p>
    <w:p>
      <w:r>
        <w:t>(c) VDRL and RPR (non-treponemal), FTA-ABS and TP-PA (treponemal)</w:t>
      </w:r>
    </w:p>
    <w:p>
      <w:r>
        <w:t>(d) Paul-Bunnell and heterophile antibody tests</w:t>
      </w:r>
    </w:p>
    <w:p>
      <w:r>
        <w:t>Answer: c</w:t>
      </w:r>
    </w:p>
    <w:p>
      <w:r>
        <w:t>Solution: VDRL (Venereal Disease Research Laboratory) and RPR (Rapid Plasma Reagin) are non-treponemal tests, while FTA-ABS (Fluorescent Treponemal Antibody Absorption) and TP-PA (Treponema pallidum Particle Agglutination) are specific treponemal tests. Non-treponemal tests show activity of infection; treponemal tests confirm diagnosis. Options B, C, and D are for different infections. SEQUENCE: RPR/VDRL first, then confirm with treponemal test.</w:t>
      </w:r>
    </w:p>
    <w:p>
      <w:r>
        <w:t>Positive Marks: 1</w:t>
      </w:r>
    </w:p>
    <w:p>
      <w:r>
        <w:t>Negative Marks: 0.33</w:t>
      </w:r>
    </w:p>
    <w:p>
      <w:r>
        <w:t>Question: Which of the following helminths most commonly causes iron-deficiency anemia through chronic intestinal blood loss?</w:t>
      </w:r>
    </w:p>
    <w:p>
      <w:r>
        <w:t>(a) Hymenolepis nana (dwarf tapeworm)</w:t>
      </w:r>
    </w:p>
    <w:p>
      <w:r>
        <w:t>(b) Ascaris lumbricoides</w:t>
      </w:r>
    </w:p>
    <w:p>
      <w:r>
        <w:t>(c) Taenia solium (pork tapeworm)</w:t>
      </w:r>
    </w:p>
    <w:p>
      <w:r>
        <w:t>(d) Necator americanus (hookworm)</w:t>
      </w:r>
    </w:p>
    <w:p>
      <w:r>
        <w:t>Answer: d</w:t>
      </w:r>
    </w:p>
    <w:p>
      <w:r>
        <w:t>Solution: Hookworms (Necator americanus and Ancylostoma duodenale) attach to small intestinal mucosa and consume blood, causing chronic blood loss of 0.1-0.2 mL/day per worm, leading to severe iron-deficiency anemia. Ascaris causes malnutrition rather than anemia, and tapeworms do not typically cause significant blood loss. Hookworm anemia is particularly severe in resource-limited settings and is a major cause of morbidity in endemic regions, especially affecting children and pregnant women.</w:t>
      </w:r>
    </w:p>
    <w:p>
      <w:r>
        <w:t>Positive Marks: 1</w:t>
      </w:r>
    </w:p>
    <w:p>
      <w:r>
        <w:t>Negative Marks: 0.33</w:t>
      </w:r>
    </w:p>
    <w:p>
      <w:r>
        <w:t>Question: Which of the following is the most important pathophysiological feature of rabies virus?</w:t>
      </w:r>
    </w:p>
    <w:p>
      <w:r>
        <w:t>(a) Bacterial superinfection of lungs</w:t>
      </w:r>
    </w:p>
    <w:p>
      <w:r>
        <w:t>(b) Massive hemorrhage in GI tract</w:t>
      </w:r>
    </w:p>
    <w:p>
      <w:r>
        <w:t>(c) Viral replication in the peripheral nerves then CNS migration</w:t>
      </w:r>
    </w:p>
    <w:p>
      <w:r>
        <w:t>(d) Direct destruction of the heart</w:t>
      </w:r>
    </w:p>
    <w:p>
      <w:r>
        <w:t>Answer: c</w:t>
      </w:r>
    </w:p>
    <w:p>
      <w:r>
        <w:t>Solution: Rabies virus propagates in peripheral nerve tissues following inoculation, then travels centripetally along nerves to reach the central nervous system. Once in the CNS, it replicates exponentially, causing encephalomyelitis. The virus then travels centrifugally to salivary glands and other tissues. This retrograde axonal transport mechanism is unique to rabies and explains the incubation period variation based on bite location and distance from CNS.</w:t>
      </w:r>
    </w:p>
    <w:p>
      <w:r>
        <w:t>Positive Marks: 1</w:t>
      </w:r>
    </w:p>
    <w:p>
      <w:r>
        <w:t>Negative Marks: 0.33</w:t>
      </w:r>
    </w:p>
    <w:p>
      <w:r>
        <w:t>Question: Which pathogenic strain of E. coli is most commonly associated with traveler's diarrhea in developing countries?</w:t>
      </w:r>
    </w:p>
    <w:p>
      <w:r>
        <w:t>(a) Enteroinvasive E. coli (EIEC)</w:t>
      </w:r>
    </w:p>
    <w:p>
      <w:r>
        <w:t>(b) Shiga toxin-producing E. coli (STEC)</w:t>
      </w:r>
    </w:p>
    <w:p>
      <w:r>
        <w:t>(c) Enterotoxigenic E. coli (ETEC)</w:t>
      </w:r>
    </w:p>
    <w:p>
      <w:r>
        <w:t>(d) Enteroaggregative E. coli (EAEC)</w:t>
      </w:r>
    </w:p>
    <w:p>
      <w:r>
        <w:t>Answer: c</w:t>
      </w:r>
    </w:p>
    <w:p>
      <w:r>
        <w:t>Solution: Enterotoxigenic E. coli (ETEC) is the leading bacterial cause of traveler's diarrhea in developing countries, accounting for 30-50% of cases. ETEC produces enterotoxins (heat-labile and heat-stable toxins) causing watery diarrhea. EIEC causes invasive dysentery but is less common. EAEC causes persistent diarrhea but is less frequent than ETEC. STEC causes hemolytic uremic syndrome but is rare in traveler's diarrhea. ETEC is the classic pathogen for travelers to endemic areas.</w:t>
      </w:r>
    </w:p>
    <w:p>
      <w:r>
        <w:t>Positive Marks: 1</w:t>
      </w:r>
    </w:p>
    <w:p>
      <w:r>
        <w:t>Negative Marks: 0.33</w:t>
      </w:r>
    </w:p>
    <w:p>
      <w:r>
        <w:t>Question: What is the FUNDAMENTAL DIFFERENCE between antigenic drift and antigenic shift in influenza viruses?</w:t>
      </w:r>
    </w:p>
    <w:p>
      <w:r>
        <w:t>(a) Drift = point mutations in viral genes (gradual changes); Shift = reassortment of gene segments (sudden changes)</w:t>
      </w:r>
    </w:p>
    <w:p>
      <w:r>
        <w:t>(b) Drift requires vaccination annually; Shift never requires vaccine updates</w:t>
      </w:r>
    </w:p>
    <w:p>
      <w:r>
        <w:t>(c) Drift only affects influenza B; Shift only affects influenza A</w:t>
      </w:r>
    </w:p>
    <w:p>
      <w:r>
        <w:t>(d) Drift causes severe pandemics; Shift causes mild seasonal flu</w:t>
      </w:r>
    </w:p>
    <w:p>
      <w:r>
        <w:t>Answer: a</w:t>
      </w:r>
    </w:p>
    <w:p>
      <w:r>
        <w:t>Solution: Antigenic drift involves gradual accumulation of point mutations in HA/NA genes, requiring annual vaccine updates and causing seasonal epidemics. Antigenic shift occurs when different influenza viruses co-infect and exchange gene segments, creating novel hybrid viruses—mechanism behind pandemics (1918 Spanish flu, 1957 Asian flu, 1968 Hong Kong flu, 2009 H1N1). Only Influenza A undergoes major reassortment shifts. This distinction is fundamental to influenza epidemiology and vaccine strategy.</w:t>
      </w:r>
    </w:p>
    <w:p>
      <w:r>
        <w:t>Positive Marks: 1</w:t>
      </w:r>
    </w:p>
    <w:p>
      <w:r>
        <w:t>Negative Marks: 0.33</w:t>
      </w:r>
    </w:p>
    <w:p>
      <w:r>
        <w:t>Question: Beta-lactamase inhibitors (such as clavulanic acid) work primarily by:</w:t>
      </w:r>
    </w:p>
    <w:p>
      <w:r>
        <w:t>(a) Inhibiting bacterial protein synthesis at the ribosome</w:t>
      </w:r>
    </w:p>
    <w:p>
      <w:r>
        <w:t>(b) Binding to and irreversibly inhibiting beta-lactamase enzymes, restoring beta-lactam efficacy</w:t>
      </w:r>
    </w:p>
    <w:p>
      <w:r>
        <w:t>(c) Increasing antibiotic concentration in infected tissues</w:t>
      </w:r>
    </w:p>
    <w:p>
      <w:r>
        <w:t>(d) Directly killing bacteria through cell wall disruption</w:t>
      </w:r>
    </w:p>
    <w:p>
      <w:r>
        <w:t>Answer: b</w:t>
      </w:r>
    </w:p>
    <w:p>
      <w:r>
        <w:t>Solution: Beta-lactamase inhibitors are suicide substrates that bind to and inactivate beta-lactamase enzymes, preventing antibiotic degradation and 'protecting' the beta-lactam antibiotic. Option d is the beta-lactam's action, not the inhibitor's; c is an unrelated mechanism; d describes pharmacokinetics. Classic example: amoxicillin-clavulanate (Augmentin).</w:t>
      </w:r>
    </w:p>
    <w:p>
      <w:r>
        <w:t>Positive Marks: 1</w:t>
      </w:r>
    </w:p>
    <w:p>
      <w:r>
        <w:t>Negative Marks: 0.33</w:t>
      </w:r>
    </w:p>
    <w:p>
      <w:r>
        <w:t>Question: Which antigen-antibody system is elevated in post-streptococcal sequelae reflecting recent Group A Strep infection?</w:t>
      </w:r>
    </w:p>
    <w:p>
      <w:r>
        <w:t>(a) Anti-M protein and anti-hyaluronidase antibodies</w:t>
      </w:r>
    </w:p>
    <w:p>
      <w:r>
        <w:t>(b) Anti-N-acetyl-beta-D-glucosamine antibodies</w:t>
      </w:r>
    </w:p>
    <w:p>
      <w:r>
        <w:t>(c) Anti-streptolysin O (ASO) antibody</w:t>
      </w:r>
    </w:p>
    <w:p>
      <w:r>
        <w:t>(d) Anti-Lancefield Group A carbohydrate</w:t>
      </w:r>
    </w:p>
    <w:p>
      <w:r>
        <w:t>Answer: c</w:t>
      </w:r>
    </w:p>
    <w:p>
      <w:r>
        <w:t>Solution: Anti-Streptolysin O (ASO) titer is the MOST commonly measured serological marker reflecting recent S. pyogenes infection and elevated in post-streptococcal complications (ARF, PSGN). Elevated ASO (&gt;200 Todd units) indicates recent streptococcal infection. Anti-M protein reflects chronic/recurrent infections. ASO testing is standard diagnostic confirmation for sequelae. Rising or persistently elevated ASO titers support streptococcal etiology.</w:t>
      </w:r>
    </w:p>
    <w:p>
      <w:r>
        <w:t>Positive Marks: 1</w:t>
      </w:r>
    </w:p>
    <w:p>
      <w:r>
        <w:t>Negative Marks: 0.33</w:t>
      </w:r>
    </w:p>
    <w:p>
      <w:r>
        <w:t>Question: What is the primary role of infection prevention and control team in hospital outbreak investigation?</w:t>
      </w:r>
    </w:p>
    <w:p>
      <w:r>
        <w:t>(a) To provide antibiotic treatment to affected cases</w:t>
      </w:r>
    </w:p>
    <w:p>
      <w:r>
        <w:t>(b) To generate final epidemiological statistics only</w:t>
      </w:r>
    </w:p>
    <w:p>
      <w:r>
        <w:t>(c) To perform diagnostic testing of all samples</w:t>
      </w:r>
    </w:p>
    <w:p>
      <w:r>
        <w:t>(d) To assess infection control practices, identify breaches contributing to outbreak, recommend corrective measures, and monitor implementation compliance</w:t>
      </w:r>
    </w:p>
    <w:p>
      <w:r>
        <w:t>Answer: d</w:t>
      </w:r>
    </w:p>
    <w:p>
      <w:r>
        <w:t>Solution: IPC team identifies lapses in infection prevention practices (hand hygiene, PPE, environmental disinfection, sterilization) that facilitated outbreak. They recommend corrective measures and monitor compliance to prevent recurrence. B (testing) is laboratory function, C (treatment) is clinical management, D (statistics) is secondary responsibility. IPC expertise is critical for source identification and control measure implementation in healthcare settings.</w:t>
      </w:r>
    </w:p>
    <w:p>
      <w:r>
        <w:t>Positive Marks: 1</w:t>
      </w:r>
    </w:p>
    <w:p>
      <w:r>
        <w:t>Negative Marks: 0.33</w:t>
      </w:r>
    </w:p>
    <w:p>
      <w:r>
        <w:t>Question: A newly discovered virus exhibits both DNA and RNA within its virion structure along with reverse transcriptase activity. What does this unusual property combination suggest about viral classification?</w:t>
      </w:r>
    </w:p>
    <w:p>
      <w:r>
        <w:t>(a) The virus likely belongs to a retroviral or pararetroviral group capable of nucleic acid conversion between DNA and RNA forms</w:t>
      </w:r>
    </w:p>
    <w:p>
      <w:r>
        <w:t>(b) This finding is scientifically impossible under current viral classification systems</w:t>
      </w:r>
    </w:p>
    <w:p>
      <w:r>
        <w:t>(c) The virus is definitively a bacteriophage with properties differing from eukaryotic viruses</w:t>
      </w:r>
    </w:p>
    <w:p>
      <w:r>
        <w:t>(d) The virus violates fundamental principles of viral biology established by molecular virology</w:t>
      </w:r>
    </w:p>
    <w:p>
      <w:r>
        <w:t>Answer: a</w:t>
      </w:r>
    </w:p>
    <w:p>
      <w:r>
        <w:t>Solution: Retroviruses (e.g., HIV, HTLV) and pararetroviruses (e.g., hepadnaviruses like HBV) naturally possess both DNA and RNA genomes plus reverse transcriptase enabling RNA→DNA reverse transcription, establishing a distinct Baltimore Group VI lineage. This dual-genome strategy reflects evolutionary innovation for nuclear integration and chronic infection. Option d misunderstands viral diversity; c incorrectly categorizes; d denies known biological reality. These viruses demonstrate that fundamental biological principles accommodate multiple strategies.</w:t>
      </w:r>
    </w:p>
    <w:p>
      <w:r>
        <w:t>Positive Marks: 1</w:t>
      </w:r>
    </w:p>
    <w:p>
      <w:r>
        <w:t>Negative Marks: 0.33</w:t>
      </w:r>
    </w:p>
    <w:p>
      <w:r>
        <w:t>Question: A 32-year-old woman presents with vulvovaginal candidiasis and reports antibiotic use for a respiratory tract infection one week prior. What is the PRIMARY mechanism by which antibiotics predispose to Candida overgrowth?</w:t>
      </w:r>
    </w:p>
    <w:p>
      <w:r>
        <w:t>(a) Enhanced polymorphonuclear leucocyte (PMN) recruitment</w:t>
      </w:r>
    </w:p>
    <w:p>
      <w:r>
        <w:t>(b) Disruption of normal vaginal bacterial flora that produce bacteriocins</w:t>
      </w:r>
    </w:p>
    <w:p>
      <w:r>
        <w:t>(c) Direct inhibition of Candida cell wall synthesis</w:t>
      </w:r>
    </w:p>
    <w:p>
      <w:r>
        <w:t>(d) Increased estrogen levels promoting fungal growth</w:t>
      </w:r>
    </w:p>
    <w:p>
      <w:r>
        <w:t>Answer: b</w:t>
      </w:r>
    </w:p>
    <w:p>
      <w:r>
        <w:t>Solution: Broad-spectrum antibiotics eliminate normal lactobacilli and other beneficial bacteria that normally inhibit Candida proliferation through bacteriocin production and competition, making option B correct. Antibiotics do not directly inhibit Candida (option C) as they target bacterial structures. Estrogen changes are not caused by antibiotics (option D). Antibiotics do not enhance PMN recruitment (option A); if anything, they may reduce inflammatory response. Key concept: Dysbiosis → Candida overgrowth.</w:t>
      </w:r>
    </w:p>
    <w:p>
      <w:r>
        <w:t>Positive Marks: 1</w:t>
      </w:r>
    </w:p>
    <w:p>
      <w:r>
        <w:t>Negative Marks: 0.33</w:t>
      </w:r>
    </w:p>
    <w:p>
      <w:r>
        <w:t>Question: Which of the following BEST defines an antigen?</w:t>
      </w:r>
    </w:p>
    <w:p>
      <w:r>
        <w:t>(a) A protein synthesized exclusively by plasma cells in lymphoid tissues</w:t>
      </w:r>
    </w:p>
    <w:p>
      <w:r>
        <w:t>(b) A molecule that can stimulate a specific immune response and bind to antibodies</w:t>
      </w:r>
    </w:p>
    <w:p>
      <w:r>
        <w:t>(c) A chemical compound that passively destroys all types of pathogens</w:t>
      </w:r>
    </w:p>
    <w:p>
      <w:r>
        <w:t>(d) A receptor molecule found only on the surface of T lymphocytes</w:t>
      </w:r>
    </w:p>
    <w:p>
      <w:r>
        <w:t>Answer: b</w:t>
      </w:r>
    </w:p>
    <w:p>
      <w:r>
        <w:t>Solution: An antigen is defined as any foreign substance capable of stimulating a specific immune response and binding to antibodies or T-cell receptors. Option a is incorrect because antibodies are synthesized by plasma cells, not antigens. Option c is wrong because antigens don't destroy pathogens themselves; they trigger immunity. Option d confuses antigens with TCR. Memory aid: Antigen = 'Ant-i-gen' = Anti-body generator.</w:t>
      </w:r>
    </w:p>
    <w:p>
      <w:r>
        <w:t>Positive Marks: 1</w:t>
      </w:r>
    </w:p>
    <w:p>
      <w:r>
        <w:t>Negative Marks: 0.33</w:t>
      </w:r>
    </w:p>
    <w:p>
      <w:r>
        <w:t>Question: A 6-month-old infant presents with constipation followed by weakness, ptosis, dilated pupils, and descending paralysis. The mother recalls the infant consumed honey 3 weeks ago. What is the diagnosis?</w:t>
      </w:r>
    </w:p>
    <w:p>
      <w:r>
        <w:t>(a) Poliomyelitis</w:t>
      </w:r>
    </w:p>
    <w:p>
      <w:r>
        <w:t>(b) Myasthenia gravis</w:t>
      </w:r>
    </w:p>
    <w:p>
      <w:r>
        <w:t>(c) Guillain-Barré syndrome</w:t>
      </w:r>
    </w:p>
    <w:p>
      <w:r>
        <w:t>(d) Infant botulism caused by Clostridium botulinum</w:t>
      </w:r>
    </w:p>
    <w:p>
      <w:r>
        <w:t>Answer: d</w:t>
      </w:r>
    </w:p>
    <w:p>
      <w:r>
        <w:t>Solution: Infant botulism is caused by ingestion of C. botulinum spores (found in honey), which germinate in the intestinal tract and produce botulinum toxin. The descending paralysis, ptosis, and autonomic signs (dilated pupils) are characteristic. The constipation is often the first symptom. Honey is a well-known reservoir because spores survive its antibacterial properties. Guillain-Barré typically has ascending paralysis, myasthenia has ocular signs but different etiology, and polio is rare with vaccination. Key point: Honey contraindicated in infants &lt;1 year.</w:t>
      </w:r>
    </w:p>
    <w:p>
      <w:r>
        <w:t>Positive Marks: 1</w:t>
      </w:r>
    </w:p>
    <w:p>
      <w:r>
        <w:t>Negative Marks: 0.33</w:t>
      </w:r>
    </w:p>
    <w:p>
      <w:r>
        <w:t>Question: The Ghon complex in primary tuberculosis consists of which three components?</w:t>
      </w:r>
    </w:p>
    <w:p>
      <w:r>
        <w:t>(a) Pleural effusion, cavitary lesion, and fibrosis</w:t>
      </w:r>
    </w:p>
    <w:p>
      <w:r>
        <w:t>(b) Granuloma, caseation, and calcification</w:t>
      </w:r>
    </w:p>
    <w:p>
      <w:r>
        <w:t>(c) Parenchymal focus, regional lymphadenitis, and lymphangitis</w:t>
      </w:r>
    </w:p>
    <w:p>
      <w:r>
        <w:t>(d) Caseous focus, hilar lymphadenitis, and bronchitis</w:t>
      </w:r>
    </w:p>
    <w:p>
      <w:r>
        <w:t>Answer: c</w:t>
      </w:r>
    </w:p>
    <w:p>
      <w:r>
        <w:t>Solution: The Ghon complex is the characteristic lesion of primary TB and includes: (1) parenchymal focus (Ghon focus), (2) regional lymphadenitis, and (3) lymphangitis connecting them. Option 'a' includes bronchitis which is not part of the classic triad. Option 'c' describes complications. Option 'd' omits the critical lymph node involvement. TRICK: 'One focus + One node + One lymph vessel' = Ghon complex.</w:t>
      </w:r>
    </w:p>
    <w:p>
      <w:r>
        <w:t>Positive Marks: 1</w:t>
      </w:r>
    </w:p>
    <w:p>
      <w:r>
        <w:t>Negative Marks: 0.33</w:t>
      </w:r>
    </w:p>
    <w:p>
      <w:r>
        <w:t>Question: A bacterial species requires organic vitamins for growth and reproduction but is capable of synthesizing all amino acids from inorganic nitrogen sources. This organism is classified as a:</w:t>
      </w:r>
    </w:p>
    <w:p>
      <w:r>
        <w:t>(a) Oligotroph</w:t>
      </w:r>
    </w:p>
    <w:p>
      <w:r>
        <w:t>(b) Auxotroph</w:t>
      </w:r>
    </w:p>
    <w:p>
      <w:r>
        <w:t>(c) Vitaminotroph</w:t>
      </w:r>
    </w:p>
    <w:p>
      <w:r>
        <w:t>(d) Prototroph</w:t>
      </w:r>
    </w:p>
    <w:p>
      <w:r>
        <w:t>Answer: c</w:t>
      </w:r>
    </w:p>
    <w:p>
      <w:r>
        <w:t>Solution: A vitaminotroph is an organism that requires organic vitamins (growth factors like B vitamins, coenzymes) but can synthesize all amino acids from inorganic sources. Prototrophs need only inorganic nutrients (completely self-sufficient). Auxotrophs cannot synthesize specific amino acids or vitamins, requiring supplementation. Oligotrophs can grow on minimal nutrients with energy limitation. Many fastidious pathogens are vitaminotrophs—understanding their nutritional needs guides culture media preparation.</w:t>
      </w:r>
    </w:p>
    <w:p>
      <w:r>
        <w:t>Positive Marks: 1</w:t>
      </w:r>
    </w:p>
    <w:p>
      <w:r>
        <w:t>Negative Marks: 0.33</w:t>
      </w:r>
    </w:p>
    <w:p>
      <w:r>
        <w:t>Question: An elderly patient presents with dermatomal unilateral vesicular rash on the trunk (thoracic region) with severe pain. Which pathophysiologic mechanism explains this clinical presentation?</w:t>
      </w:r>
    </w:p>
    <w:p>
      <w:r>
        <w:t>(a) Secondary bacterial superinfection</w:t>
      </w:r>
    </w:p>
    <w:p>
      <w:r>
        <w:t>(b) Disseminated varicella from immunosuppression</w:t>
      </w:r>
    </w:p>
    <w:p>
      <w:r>
        <w:t>(c) Primary varicella infection in elderly</w:t>
      </w:r>
    </w:p>
    <w:p>
      <w:r>
        <w:t>(d) Reactivation of latent VZV from dorsal root ganglia</w:t>
      </w:r>
    </w:p>
    <w:p>
      <w:r>
        <w:t>Answer: d</w:t>
      </w:r>
    </w:p>
    <w:p>
      <w:r>
        <w:t>Solution: This presentation is herpes zoster (shingles), which results from reactivation of varicella-zoster virus that remained latent in sensory nerve ganglia (dorsal root ganglia in this case) after primary varicella infection. Zoster typically occurs decades after primary infection when cell-mediated immunity wanes with age or immunosuppression. The dermatomal distribution follows the affected nerve root. Post-herpetic neuralgia (chronic pain after zoster) is a significant complication in elderly patients. Nursing care includes pain management, preventing superinfection, and educating patients about VZV transmission from vesicular fluid. This is distinct from primary varicella and requires different management strategies.</w:t>
      </w:r>
    </w:p>
    <w:p>
      <w:r>
        <w:t>Positive Marks: 1</w:t>
      </w:r>
    </w:p>
    <w:p>
      <w:r>
        <w:t>Negative Marks: 0.33</w:t>
      </w:r>
    </w:p>
    <w:p>
      <w:r>
        <w:t>Question: What is the first-line antimicrobial therapy for acute symptomatic giardiasis in adults?</w:t>
      </w:r>
    </w:p>
    <w:p>
      <w:r>
        <w:t>(a) Chloroquine 600 mg daily for 2-3 weeks</w:t>
      </w:r>
    </w:p>
    <w:p>
      <w:r>
        <w:t>(b) Quinine sulfate 650 mg three times daily for 10 days</w:t>
      </w:r>
    </w:p>
    <w:p>
      <w:r>
        <w:t>(c) Artemether 80 mg intramuscularly once weekly for 2 weeks</w:t>
      </w:r>
    </w:p>
    <w:p>
      <w:r>
        <w:t>(d) Metronidazole 250 mg three times daily for 5-7 days with cure rate &gt;90%</w:t>
      </w:r>
    </w:p>
    <w:p>
      <w:r>
        <w:t>Answer: d</w:t>
      </w:r>
    </w:p>
    <w:p>
      <w:r>
        <w:t>Solution: Metronidazole (Flagyl) at 250 mg TDS for 5-7 days is the gold standard first-line treatment for giardiasis with &gt;90% cure rate and good small bowel penetration. Chloroquine is used for malaria, not giardiasis. Quinine is used for severe malaria. Artemether is an artemisinin derivative for malaria. Metronidazole's efficacy in anaerobic parasites is well-established. Alternative agents like tinidazole or albendazole are used for resistant cases or special populations.</w:t>
      </w:r>
    </w:p>
    <w:p>
      <w:r>
        <w:t>Positive Marks: 1</w:t>
      </w:r>
    </w:p>
    <w:p>
      <w:r>
        <w:t>Negative Marks: 0.33</w:t>
      </w:r>
    </w:p>
    <w:p>
      <w:r>
        <w:t>Question: Which vaccine in the routine immunization schedule of India is stored separately in a dedicated deep freezer at -15°C to -25°C?</w:t>
      </w:r>
    </w:p>
    <w:p>
      <w:r>
        <w:t>(a) BCG vaccine</w:t>
      </w:r>
    </w:p>
    <w:p>
      <w:r>
        <w:t>(b) Measles, Mumps, Rubella (MMR) vaccine</w:t>
      </w:r>
    </w:p>
    <w:p>
      <w:r>
        <w:t>(c) Hepatitis B vaccine</w:t>
      </w:r>
    </w:p>
    <w:p>
      <w:r>
        <w:t>(d) Oral Polio Vaccine (OPV)</w:t>
      </w:r>
    </w:p>
    <w:p>
      <w:r>
        <w:t>Answer: b</w:t>
      </w:r>
    </w:p>
    <w:p>
      <w:r>
        <w:t>Solution: MMR vaccine, being a live attenuated vaccine with lower thermostability compared to inactivated vaccines, requires storage in a dedicated deep freezer at -15°C to -25°C for long-term preservation of potency. Hepatitis B and OPV are stored at 2-8°C in standard refrigerators. BCG vaccine is also stored at 2-8°C in regular refrigerators as it is relatively thermostable. This question tests critical knowledge of vaccine storage hierarchy in cold chain management according to IAP and Indian NIP guidelines. Memory aid: 'MMR Means Really cold storage'—it requires the coldest temperatures due to its live attenuated nature and greater sensitivity to heat.</w:t>
      </w:r>
    </w:p>
    <w:p>
      <w:r>
        <w:t>Positive Marks: 1</w:t>
      </w:r>
    </w:p>
    <w:p>
      <w:r>
        <w:t>Negative Marks: 0.33</w:t>
      </w:r>
    </w:p>
    <w:p>
      <w:r>
        <w:t>Question: The shelf life (expiration date) of a sterile item depends primarily on:</w:t>
      </w:r>
    </w:p>
    <w:p>
      <w:r>
        <w:t>(a) The original cost of sterilizing the item</w:t>
      </w:r>
    </w:p>
    <w:p>
      <w:r>
        <w:t>(b) The type of packing material used exclusively</w:t>
      </w:r>
    </w:p>
    <w:p>
      <w:r>
        <w:t>(c) The date of sterilization only</w:t>
      </w:r>
    </w:p>
    <w:p>
      <w:r>
        <w:t>(d) Integrated environmental conditions, storage practices, and packaging integrity</w:t>
      </w:r>
    </w:p>
    <w:p>
      <w:r>
        <w:t>Answer: d</w:t>
      </w:r>
    </w:p>
    <w:p>
      <w:r>
        <w:t>Solution: Shelf life depends on multiple factors: packing material integrity, storage temperature/humidity, handling practices, exposure risk, and microbial contamination probability. Type alone (A) is insufficient. Date of sterilization (C) doesn't predict contamination risk—shelf life is event-related, not time-related. Cost (D) is irrelevant to safety. This is why sterile items have different shelf lives; some may be valid longer if stored optimally despite earlier sterilization date.</w:t>
      </w:r>
    </w:p>
    <w:p>
      <w:r>
        <w:t>Positive Marks: 1</w:t>
      </w:r>
    </w:p>
    <w:p>
      <w:r>
        <w:t>Negative Marks: 0.33</w:t>
      </w:r>
    </w:p>
    <w:p>
      <w:r>
        <w:t>Question: Which species of Plasmodium causes the most severe form of malaria?</w:t>
      </w:r>
    </w:p>
    <w:p>
      <w:r>
        <w:t>(a) P. ovale</w:t>
      </w:r>
    </w:p>
    <w:p>
      <w:r>
        <w:t>(b) P. falciparum</w:t>
      </w:r>
    </w:p>
    <w:p>
      <w:r>
        <w:t>(c) P. vivax</w:t>
      </w:r>
    </w:p>
    <w:p>
      <w:r>
        <w:t>(d) P. malariae</w:t>
      </w:r>
    </w:p>
    <w:p>
      <w:r>
        <w:t>Answer: b</w:t>
      </w:r>
    </w:p>
    <w:p>
      <w:r>
        <w:t>Solution: P. falciparum is most dangerous, causing severe complications: cerebral malaria, acute renal failure, blackwater fever, and severe hemolytic anemia. It has the highest parasitemia (&gt;25% RBCs), rapid multiplication, and highest mortality. P. vivax, malariae, and ovale cause milder disease with better prognosis. P. falciparum = Fatal falciparum.</w:t>
      </w:r>
    </w:p>
    <w:p>
      <w:r>
        <w:t>Positive Marks: 1</w:t>
      </w:r>
    </w:p>
    <w:p>
      <w:r>
        <w:t>Negative Marks: 0.33</w:t>
      </w:r>
    </w:p>
    <w:p>
      <w:r>
        <w:t>Question: A 35-year-old male presents with disseminated gonococcal infection manifesting as arthritis, tenosynovitis, and characteristic pustular rash on extremities. Which pathophysiological mechanism explains the systemic dissemination of Neisseria gonorrhoeae from the primary urethral site?</w:t>
      </w:r>
    </w:p>
    <w:p>
      <w:r>
        <w:t>(a) Endotoxin-mediated septic shock without bacteremia</w:t>
      </w:r>
    </w:p>
    <w:p>
      <w:r>
        <w:t>(b) Hematogenous spread of virulent strains with particular invasion and survival capacity in endothelium</w:t>
      </w:r>
    </w:p>
    <w:p>
      <w:r>
        <w:t>(c) Superantigen production triggering massive systemic inflammation</w:t>
      </w:r>
    </w:p>
    <w:p>
      <w:r>
        <w:t>(d) Direct lymphatic spread to joints causing sterile inflammatory arthritis</w:t>
      </w:r>
    </w:p>
    <w:p>
      <w:r>
        <w:t>Answer: b</w:t>
      </w:r>
    </w:p>
    <w:p>
      <w:r>
        <w:t>Solution: Disseminated gonococcal infection (DGI) occurs through hematogenous dissemination of particular N. gonorrhoeae strains (typically penicillinase-nonproducing, serum-resistant strains) that can invade and survive in endothelial cells and blood. Option 'a' describes septic shock mechanism, not DGI pathology. Option 'c' is incorrect as DGI involves actual bacteremia and tissue invasion. Option 'd' overstates the inflammatory mechanism. DGI typically affects joints (purulent arthritis), tendons (tenosynovitis), and skin (pustules), representing 1-3% of untreated gonococcal infections and requiring prompt systemic antibiotic therapy.</w:t>
      </w:r>
    </w:p>
    <w:p>
      <w:r>
        <w:t>Positive Marks: 1</w:t>
      </w:r>
    </w:p>
    <w:p>
      <w:r>
        <w:t>Negative Marks: 0.33</w:t>
      </w:r>
    </w:p>
    <w:p>
      <w:r>
        <w:t>Question: A culture of blood collected during septic shock shows growth of Staphylococcus epidermidis in only ONE bottle of a three-bottle set. The MOST likely interpretation is:</w:t>
      </w:r>
    </w:p>
    <w:p>
      <w:r>
        <w:t>(a) B. Contamination during collection, as S. epidermidis typically appears in only one bottle when introduced from skin</w:t>
      </w:r>
    </w:p>
    <w:p>
      <w:r>
        <w:t>(b) D. Pending results from the other two bottles will definitely show the same organism</w:t>
      </w:r>
    </w:p>
    <w:p>
      <w:r>
        <w:t>(c) A. True bacteremia caused by S. epidermidis despite its common commensal status</w:t>
      </w:r>
    </w:p>
    <w:p>
      <w:r>
        <w:t>(d) C. Laboratory error in culturing the specimen</w:t>
      </w:r>
    </w:p>
    <w:p>
      <w:r>
        <w:t>Answer: a</w:t>
      </w:r>
    </w:p>
    <w:p>
      <w:r>
        <w:t>Solution: S. epidermidis is a skin commensal; true bacteremia typically yields growth in MULTIPLE bottles, while skin contamination usually causes single-bottle growth. Single positive = contamination; multiple positives = true bacteremia. Option C is misleading—S. epidermidis rarely causes true sepsis. Option D doesn't explain single-bottle growth. Option B is presumptive. Clinical lesson: Number of positive bottles is critical for contaminant vs. pathogen differentiation.</w:t>
      </w:r>
    </w:p>
    <w:p>
      <w:r>
        <w:t>Positive Marks: 1</w:t>
      </w:r>
    </w:p>
    <w:p>
      <w:r>
        <w:t>Negative Marks: 0.33</w:t>
      </w:r>
    </w:p>
    <w:p>
      <w:r>
        <w:t>Question: Which staining method is most commonly used to differentiate bacteria based on cell wall composition?</w:t>
      </w:r>
    </w:p>
    <w:p>
      <w:r>
        <w:t>(a) Gram staining</w:t>
      </w:r>
    </w:p>
    <w:p>
      <w:r>
        <w:t>(b) Acid-fast staining</w:t>
      </w:r>
    </w:p>
    <w:p>
      <w:r>
        <w:t>(c) Spore staining</w:t>
      </w:r>
    </w:p>
    <w:p>
      <w:r>
        <w:t>(d) Methylene blue staining</w:t>
      </w:r>
    </w:p>
    <w:p>
      <w:r>
        <w:t>Answer: a</w:t>
      </w:r>
    </w:p>
    <w:p>
      <w:r>
        <w:t>Solution: Gram staining differentiates bacteria into Gram-positive and Gram-negative based on peptidoglycan layer thickness and structure of the cell wall. Gram-positive bacteria with thick peptidoglycan retain the crystal violet-iodine complex, while Gram-negative bacteria with thin peptidoglycan are decolorized by alcohol. Methylene blue is simple staining (not differential), acid-fast staining is for mycobacteria specifically, and spore staining identifies endospores rather than cell wall composition. Gram staining remains the gold standard and first step in bacterial identification.</w:t>
      </w:r>
    </w:p>
    <w:p>
      <w:r>
        <w:t>Positive Marks: 1</w:t>
      </w:r>
    </w:p>
    <w:p>
      <w:r>
        <w:t>Negative Marks: 0.33</w:t>
      </w:r>
    </w:p>
    <w:p>
      <w:r>
        <w:t>Question: According to CDC and INC classification, AIDS is clinically diagnosed when the CD4+ T cell count falls below which value in an HIV-positive person?</w:t>
      </w:r>
    </w:p>
    <w:p>
      <w:r>
        <w:t>(a) Less than 200 cells/mm³</w:t>
      </w:r>
    </w:p>
    <w:p>
      <w:r>
        <w:t>(b) Less than 300 cells/mm³</w:t>
      </w:r>
    </w:p>
    <w:p>
      <w:r>
        <w:t>(c) Less than 50 cells/mm³</w:t>
      </w:r>
    </w:p>
    <w:p>
      <w:r>
        <w:t>(d) Less than 100 cells/mm³</w:t>
      </w:r>
    </w:p>
    <w:p>
      <w:r>
        <w:t>Answer: a</w:t>
      </w:r>
    </w:p>
    <w:p>
      <w:r>
        <w:t>Solution: AIDS is formally defined as CD4+ T cell count &lt;200 cells/mm³ or CD4+ percentage &lt;14% in an HIV-positive individual. This threshold marks severe immunosuppression with significantly elevated risk of opportunistic infections like PCP. CD4 &lt;100 defines severe immunosuppression (CMV, MAC risk), while &lt;50 indicates critical risk requiring intensive prophylaxis. CD4 &lt;300 was historically used for ART initiation but does not define AIDS. The 200 cells/mm³ cutoff is internationally standardized across WHO, INC, and major HIV treatment guidelines and represents a critical clinical milestone in disease progression.</w:t>
      </w:r>
    </w:p>
    <w:p>
      <w:r>
        <w:t>Positive Marks: 1</w:t>
      </w:r>
    </w:p>
    <w:p>
      <w:r>
        <w:t>Negative Marks: 0.33</w:t>
      </w:r>
    </w:p>
    <w:p>
      <w:r>
        <w:t>Question: Which of the following best explains why vaccination requires booster doses for long-term protection?</w:t>
      </w:r>
    </w:p>
    <w:p>
      <w:r>
        <w:t>(a) Antibodies last indefinitely in the circulation</w:t>
      </w:r>
    </w:p>
    <w:p>
      <w:r>
        <w:t>(b) Memory cell persistence decreases over time, requiring restimulation</w:t>
      </w:r>
    </w:p>
    <w:p>
      <w:r>
        <w:t>(c) Primary vaccine response is always sufficient for lifetime protection</w:t>
      </w:r>
    </w:p>
    <w:p>
      <w:r>
        <w:t>(d) Innate immunity alone is sufficient after initial vaccine</w:t>
      </w:r>
    </w:p>
    <w:p>
      <w:r>
        <w:t>Answer: b</w:t>
      </w:r>
    </w:p>
    <w:p>
      <w:r>
        <w:t>Solution: Memory cells persist for variable periods depending on the vaccine; booster doses restimulate these memory cells to maintain high antibody titers and prevent waning immunity. Antibodies in circulation have limited half-lives (IgG ~21 days). Although memory cells may persist for years/decades, their response may wane without restimulation. Innate immunity alone provides insufficient protection for vaccine-preventable diseases. Booster schedule is based on epidemiological data of waning immunity. This demonstrates the importance of maintaining acquired immunity through recall vaccination.</w:t>
      </w:r>
    </w:p>
    <w:p>
      <w:r>
        <w:t>Positive Marks: 1</w:t>
      </w:r>
    </w:p>
    <w:p>
      <w:r>
        <w:t>Negative Marks: 0.33</w:t>
      </w:r>
    </w:p>
    <w:p>
      <w:r>
        <w:t>Question: Hepatitis A virus is classified as a non-enveloped virus belonging to which family?</w:t>
      </w:r>
    </w:p>
    <w:p>
      <w:r>
        <w:t>(a) Bunyaviridae</w:t>
      </w:r>
    </w:p>
    <w:p>
      <w:r>
        <w:t>(b) Flaviviridae</w:t>
      </w:r>
    </w:p>
    <w:p>
      <w:r>
        <w:t>(c) Picornaviridae</w:t>
      </w:r>
    </w:p>
    <w:p>
      <w:r>
        <w:t>(d) Hepadnaviridae</w:t>
      </w:r>
    </w:p>
    <w:p>
      <w:r>
        <w:t>Answer: c</w:t>
      </w:r>
    </w:p>
    <w:p>
      <w:r>
        <w:t>Solution: HAV belongs to Picornaviridae family, characterized by single-stranded RNA and small icosahedral structure. This classification explains its resistance to environmental conditions and acid-peptic degradation, allowing fecal-oral transmission. Hepadnaviridae includes HBV (enveloped), Flaviviridae includes HCV, and Bunyaviridae includes other viruses. The picorna family's non-enveloped nature makes HAV more resistant to antibiotics and environmental stress, which is critical for nursing infection control.</w:t>
      </w:r>
    </w:p>
    <w:p>
      <w:r>
        <w:t>Positive Marks: 1</w:t>
      </w:r>
    </w:p>
    <w:p>
      <w:r>
        <w:t>Negative Marks: 0.33</w:t>
      </w:r>
    </w:p>
    <w:p>
      <w:r>
        <w:t>Question: The development of elephantiasis in lymphatic filariasis involves which of the following pathophysiological mechanisms?</w:t>
      </w:r>
    </w:p>
    <w:p>
      <w:r>
        <w:t>(a) Obstruction by microfilariae accumulated in small blood vessels</w:t>
      </w:r>
    </w:p>
    <w:p>
      <w:r>
        <w:t>(b) Direct destruction of lymph nodes causing lymphatic obstruction and bacterial superinfection only</w:t>
      </w:r>
    </w:p>
    <w:p>
      <w:r>
        <w:t>(c) Toxin production by microfilariae causing direct endothelial destruction</w:t>
      </w:r>
    </w:p>
    <w:p>
      <w:r>
        <w:t>(d) Adult worm-induced chronic inflammation causing lymphatic vessel fibrosis, obstruction, dermal thickening with recurrent cellulitis</w:t>
      </w:r>
    </w:p>
    <w:p>
      <w:r>
        <w:t>Answer: d</w:t>
      </w:r>
    </w:p>
    <w:p>
      <w:r>
        <w:t>Solution: Elephantiasis results from chronic inflammation triggered by living adult worms inducing irreversible fibrosis of lymphatic vessels combined with recurrent bacterial cellulitis episodes. Adult worms are key—microfilariae alone do not cause elephantiasis. Toxins are not primary mechanisms. The chronic inflammatory response with lymphatic destruction is characteristic. Understanding this prevents misconceptions about disease pathogenesis.</w:t>
      </w:r>
    </w:p>
    <w:p>
      <w:r>
        <w:t>Positive Marks: 1</w:t>
      </w:r>
    </w:p>
    <w:p>
      <w:r>
        <w:t>Negative Marks: 0.33</w:t>
      </w:r>
    </w:p>
    <w:p>
      <w:r>
        <w:t>Question: The HICC identifies that hand hygiene compliance in the emergency department is only 40%. What is the BEST strategy for the committee to address this based on surveillance and quality improvement principles?</w:t>
      </w:r>
    </w:p>
    <w:p>
      <w:r>
        <w:t>(a) Issue immediate warnings to all staff members without investigation</w:t>
      </w:r>
    </w:p>
    <w:p>
      <w:r>
        <w:t>(b) Assume the problem is staff negligence and impose financial penalties</w:t>
      </w:r>
    </w:p>
    <w:p>
      <w:r>
        <w:t>(c) Conduct root cause analysis, provide education, improve hand hygiene facilities, monitor compliance regularly, and provide feedback to staff</w:t>
      </w:r>
    </w:p>
    <w:p>
      <w:r>
        <w:t>(d) Replace all emergency department staff</w:t>
      </w:r>
    </w:p>
    <w:p>
      <w:r>
        <w:t>Answer: c</w:t>
      </w:r>
    </w:p>
    <w:p>
      <w:r>
        <w:t>Solution: A systematic quality improvement approach addresses why compliance is low: facility barriers, knowledge gaps, or competing priorities. This involves assessment, intervention (education, resources), and monitoring. Option A is punitive without understanding causes. Option D is disproportionate. Option B assumes blame rather than identifying system issues. Studies show most compliance failures result from systemic barriers (inadequate sinks, time pressure, poor access) not individual negligence. The committee's role is to facilitate improvement, not punish. Effective intervention requires understanding root causes.</w:t>
      </w:r>
    </w:p>
    <w:p>
      <w:r>
        <w:t>Positive Marks: 1</w:t>
      </w:r>
    </w:p>
    <w:p>
      <w:r>
        <w:t>Negative Marks: 0.33</w:t>
      </w:r>
    </w:p>
    <w:p>
      <w:r>
        <w:t>Question: Peptidoglycan cross-linking is accomplished through which type of bond between peptide chains?</w:t>
      </w:r>
    </w:p>
    <w:p>
      <w:r>
        <w:t>(a) Disulfide bonds between cysteine residues</w:t>
      </w:r>
    </w:p>
    <w:p>
      <w:r>
        <w:t>(b) Ionic bonds between charged residues</w:t>
      </w:r>
    </w:p>
    <w:p>
      <w:r>
        <w:t>(c) Peptide bonds between D-amino acids and adjacent peptide chains</w:t>
      </w:r>
    </w:p>
    <w:p>
      <w:r>
        <w:t>(d) Hydrogen bonds between amino acids</w:t>
      </w:r>
    </w:p>
    <w:p>
      <w:r>
        <w:t>Answer: c</w:t>
      </w:r>
    </w:p>
    <w:p>
      <w:r>
        <w:t>Solution: Peptidoglycan cross-linking occurs via peptide bonds between D-amino acids (particularly D-alanine) on one chain and amino acids on adjacent chains, providing rigidity. D-amino acids are unusual in nature and found primarily in bacterial peptidoglycan. Cross-linking can be direct or bridged. Hydrogen and ionic bonds stabilize but don't form cross-links. Disulfide bonds are rare in bacteria. CLINICAL RELEVANCE: Beta-lactam antibiotics inhibit these cross-link peptide bonds, weakening the wall and causing bacterial death.</w:t>
      </w:r>
    </w:p>
    <w:p>
      <w:r>
        <w:t>Positive Marks: 1</w:t>
      </w:r>
    </w:p>
    <w:p>
      <w:r>
        <w:t>Negative Marks: 0.33</w:t>
      </w:r>
    </w:p>
    <w:p>
      <w:r>
        <w:t>Question: On MacConkey agar, Vibrio cholerae colonies appear as:</w:t>
      </w:r>
    </w:p>
    <w:p>
      <w:r>
        <w:t>(a) Small white colonies surrounded by clear hemolytic halos</w:t>
      </w:r>
    </w:p>
    <w:p>
      <w:r>
        <w:t>(b) Large mucoid transparent colonies with greenish tint</w:t>
      </w:r>
    </w:p>
    <w:p>
      <w:r>
        <w:t>(c) Pink fermenting colonies due to acid production from lactose</w:t>
      </w:r>
    </w:p>
    <w:p>
      <w:r>
        <w:t>(d) Non-fermenting, colorless or slightly yellow colonies</w:t>
      </w:r>
    </w:p>
    <w:p>
      <w:r>
        <w:t>Answer: d</w:t>
      </w:r>
    </w:p>
    <w:p>
      <w:r>
        <w:t>Solution: Vibrio cholerae is a non-lactose fermenter and appears as colorless or pale yellow colonies on MacConkey agar (appears as non-fermenter, no acid production). Pink colonies indicate lactose fermentation (E. coli, Klebsiella). The non-fermenting nature is a key part of identification. On selective media like TCBS (thiosulfate-citrate-bile salts-sucrose), colonies are typically flat and yellowish, making TCBS superior for cholera isolation.</w:t>
      </w:r>
    </w:p>
    <w:p>
      <w:r>
        <w:t>Positive Marks: 1</w:t>
      </w:r>
    </w:p>
    <w:p>
      <w:r>
        <w:t>Negative Marks: 0.33</w:t>
      </w:r>
    </w:p>
    <w:p>
      <w:r>
        <w:t>Question: Dark field microscopy is useful for identifying spirochetes in syphilis primarily because:</w:t>
      </w:r>
    </w:p>
    <w:p>
      <w:r>
        <w:t>(a) Spirochetes have thick cell walls that appear dark under light</w:t>
      </w:r>
    </w:p>
    <w:p>
      <w:r>
        <w:t>(b) The spirochetes are naturally pigmented and absorb dark stains</w:t>
      </w:r>
    </w:p>
    <w:p>
      <w:r>
        <w:t>(c) Spirochetes have refractive properties allowing visualization of unstained organisms</w:t>
      </w:r>
    </w:p>
    <w:p>
      <w:r>
        <w:t>(d) Spirochetes specifically absorb dark-staining dyes through their capsule</w:t>
      </w:r>
    </w:p>
    <w:p>
      <w:r>
        <w:t>Answer: c</w:t>
      </w:r>
    </w:p>
    <w:p>
      <w:r>
        <w:t>Solution: Dark field microscopy visualizes unstained, living organisms by their inherent refractive properties and characteristic corkscrew motility. Treponema pallidum cannot be cultured routinely and does not stain well with Gram stain, making dark field essential for direct visualization. This method is particularly useful for primary/secondary syphilis lesions containing abundant treponemes. Options A, B, D provide incorrect biological explanations. Clinical application: 'Dark field = live motile organisms + refractive visualization without staining.'</w:t>
      </w:r>
    </w:p>
    <w:p>
      <w:r>
        <w:t>Positive Marks: 1</w:t>
      </w:r>
    </w:p>
    <w:p>
      <w:r>
        <w:t>Negative Marks: 0.33</w:t>
      </w:r>
    </w:p>
    <w:p>
      <w:r>
        <w:t>Question: A 45-year-old diabetic patient with persistent candidiasis despite 4 weeks of topical antifungal therapy seeks treatment. What is the MOST appropriate next step?</w:t>
      </w:r>
    </w:p>
    <w:p>
      <w:r>
        <w:t>(a) Switch to a stronger topical antifungal preparation</w:t>
      </w:r>
    </w:p>
    <w:p>
      <w:r>
        <w:t>(b) Perform antifungal susceptibility testing without any treatment</w:t>
      </w:r>
    </w:p>
    <w:p>
      <w:r>
        <w:t>(c) Initiate systemic antifungal therapy and optimize glycemic control</w:t>
      </w:r>
    </w:p>
    <w:p>
      <w:r>
        <w:t>(d) Continue the same topical antifungal for another 4 weeks</w:t>
      </w:r>
    </w:p>
    <w:p>
      <w:r>
        <w:t>Answer: c</w:t>
      </w:r>
    </w:p>
    <w:p>
      <w:r>
        <w:t>Solution: Persistent candidiasis despite topical therapy in a diabetic patient indicates need for systemic antifungal therapy (fluconazole, itraconazole) combined with strict glycemic control, as hyperglycemia is the underlying predisposing factor. Without addressing the metabolic disorder, antifungal treatment alone will fail. Option d repeats failed therapy. Option a merely increases topical potency without addressing systemic factors. Option b delays necessary treatment. Principle: Treat both infection AND underlying predisposing factor for cure in opportunistic infections.</w:t>
      </w:r>
    </w:p>
    <w:p>
      <w:r>
        <w:t>Positive Marks: 1</w:t>
      </w:r>
    </w:p>
    <w:p>
      <w:r>
        <w:t>Negative Marks: 0.33</w:t>
      </w:r>
    </w:p>
    <w:p>
      <w:r>
        <w:t>Question: A surgical instrument set is heavily contaminated with blood and tissue debris. What is the most appropriate initial step before autoclaving?</w:t>
      </w:r>
    </w:p>
    <w:p>
      <w:r>
        <w:t>(a) Rinse immediately with sterile water to remove surface contamination</w:t>
      </w:r>
    </w:p>
    <w:p>
      <w:r>
        <w:t>(b) Wipe with 70% alcohol to dissolve organic material</w:t>
      </w:r>
    </w:p>
    <w:p>
      <w:r>
        <w:t>(c) Immerse in 0.5% chlorine solution for 10-30 minutes to remove organic material</w:t>
      </w:r>
    </w:p>
    <w:p>
      <w:r>
        <w:t>(d) Soak in 2% formaldehyde solution for disinfection</w:t>
      </w:r>
    </w:p>
    <w:p>
      <w:r>
        <w:t>Answer: c</w:t>
      </w:r>
    </w:p>
    <w:p>
      <w:r>
        <w:t>Solution: Instruments contaminated with organic matter must first be cleaned to remove blood and tissue, as these substances can shield microbes from sterilizing agents. 0.5% chlorine solution is an oxidizing agent that effectively removes organic material. Option A (sterile water) lacks disinfectant property. Option B (70% alcohol) doesn't penetrate organic debris effectively. Option D (formaldehyde) disinfects but doesn't clean heavy contamination. Proper protocol: Clean → Disinfect → Sterilize. Key principle: 'Organic matter is sterilization's enemy'</w:t>
      </w:r>
    </w:p>
    <w:p>
      <w:r>
        <w:t>Positive Marks: 1</w:t>
      </w:r>
    </w:p>
    <w:p>
      <w:r>
        <w:t>Negative Marks: 0.33</w:t>
      </w:r>
    </w:p>
    <w:p>
      <w:r>
        <w:t>Question: In a urinary tract infection case, Klebsiella pneumoniae is isolated with positive urease test. What is the clinical significance of urease production?</w:t>
      </w:r>
    </w:p>
    <w:p>
      <w:r>
        <w:t>(a) Promotes alkaline urine promoting stone formation and chronic infection</w:t>
      </w:r>
    </w:p>
    <w:p>
      <w:r>
        <w:t>(b) Destroys urothelium directly</w:t>
      </w:r>
    </w:p>
    <w:p>
      <w:r>
        <w:t>(c) Indicates vancomycin resistance</w:t>
      </w:r>
    </w:p>
    <w:p>
      <w:r>
        <w:t>(d) Indicates ESBL production</w:t>
      </w:r>
    </w:p>
    <w:p>
      <w:r>
        <w:t>Answer: a</w:t>
      </w:r>
    </w:p>
    <w:p>
      <w:r>
        <w:t>Solution: Klebsiella pneumoniae produces urease, which hydrolyzes urea to ammonia and CO2, raising urine pH (alkaline). This alkaline environment promotes precipitation of magnesium ammonium phosphate and struvite stone formation, complicating UTI treatment and promoting recurrent/chronic infection. Urease does not confer vancomycin resistance, directly destroy tissue, or indicate ESBL; it is a virulence factor specific to urinary pathogenesis.</w:t>
      </w:r>
    </w:p>
    <w:p>
      <w:r>
        <w:t>Positive Marks: 1</w:t>
      </w:r>
    </w:p>
    <w:p>
      <w:r>
        <w:t>Negative Marks: 0.33</w:t>
      </w:r>
    </w:p>
    <w:p>
      <w:r>
        <w:t>Question: At what temperature should most general-purpose culture media be stored in the laboratory?</w:t>
      </w:r>
    </w:p>
    <w:p>
      <w:r>
        <w:t>(a) -20°C (freezer)</w:t>
      </w:r>
    </w:p>
    <w:p>
      <w:r>
        <w:t>(b) Room temperature (25°C)</w:t>
      </w:r>
    </w:p>
    <w:p>
      <w:r>
        <w:t>(c) 4°C (refrigerator)</w:t>
      </w:r>
    </w:p>
    <w:p>
      <w:r>
        <w:t>(d) 37°C (incubator)</w:t>
      </w:r>
    </w:p>
    <w:p>
      <w:r>
        <w:t>Answer: c</w:t>
      </w:r>
    </w:p>
    <w:p>
      <w:r>
        <w:t>Solution: Prepared culture media should be stored at 4°C to slow down degradation, prevent evaporation, and maintain sterility without promoting unwanted microbial growth. Room temperature (option B) causes moisture loss and potential contamination. 37°C (option D) is incubation temperature, not storage. -20°C (option A) can damage agar consistency. Refrigerated storage at 4°C is the standard protocol to preserve media viability for extended periods while maintaining biochemical properties.</w:t>
      </w:r>
    </w:p>
    <w:p>
      <w:r>
        <w:t>Positive Marks: 1</w:t>
      </w:r>
    </w:p>
    <w:p>
      <w:r>
        <w:t>Negative Marks: 0.33</w:t>
      </w:r>
    </w:p>
    <w:p>
      <w:r>
        <w:t>Question: A patient with immunodeficiency presents with recurrent bacterial infections, fungal infections, viral infections, and low antibody levels. This pattern suggests which type of defect?</w:t>
      </w:r>
    </w:p>
    <w:p>
      <w:r>
        <w:t>(a) Phagocytic cell deficiency</w:t>
      </w:r>
    </w:p>
    <w:p>
      <w:r>
        <w:t>(b) Combined immunodeficiency (SCID or similar)</w:t>
      </w:r>
    </w:p>
    <w:p>
      <w:r>
        <w:t>(c) Isolated T cell deficiency</w:t>
      </w:r>
    </w:p>
    <w:p>
      <w:r>
        <w:t>(d) Isolated B cell deficiency</w:t>
      </w:r>
    </w:p>
    <w:p>
      <w:r>
        <w:t>Answer: b</w:t>
      </w:r>
    </w:p>
    <w:p>
      <w:r>
        <w:t>Solution: Combined immunodeficiency (SCID, combined B and T cell deficiency) presents with susceptibility to ALL infection types: bacterial (antibodies), viral (T cells), fungal (T cells), opportunistic pathogens. Isolated B cell defect causes mainly bacterial infections. Isolated T cell defect causes viral/fungal/parasitic infections. Phagocytic defects primarily cause catalase-positive organism infections. Multiple infection types = both T and B cell involvement. SCID typically presents in infancy with failure to thrive. Mnemonic: 'All infection types = Both B and T affected'.</w:t>
      </w:r>
    </w:p>
    <w:p>
      <w:r>
        <w:t>Positive Marks: 1</w:t>
      </w:r>
    </w:p>
    <w:p>
      <w:r>
        <w:t>Negative Marks: 0.33</w:t>
      </w:r>
    </w:p>
    <w:p>
      <w:r>
        <w:t>Question: During Gram staining, which step involves the use of acetone-alcohol?</w:t>
      </w:r>
    </w:p>
    <w:p>
      <w:r>
        <w:t>(a) Fixation</w:t>
      </w:r>
    </w:p>
    <w:p>
      <w:r>
        <w:t>(b) Counter-staining</w:t>
      </w:r>
    </w:p>
    <w:p>
      <w:r>
        <w:t>(c) Primary staining</w:t>
      </w:r>
    </w:p>
    <w:p>
      <w:r>
        <w:t>(d) Decolorization</w:t>
      </w:r>
    </w:p>
    <w:p>
      <w:r>
        <w:t>Answer: d</w:t>
      </w:r>
    </w:p>
    <w:p>
      <w:r>
        <w:t>Solution: Acetone-alcohol is a decolorizing agent (or decolorizer) that removes the crystal violet-iodine complex from Gram-negative bacteria but not from Gram-positive bacteria due to differences in cell wall permeability. Fixation uses heat or methanol. Primary staining uses crystal violet. Counter-staining uses safranin. The critical distinction is that the decolorizer's differential action is the basis of the Gram staining differential technique—too much decolorization will remove stain from Gram-positive organisms, leading to false negatives.</w:t>
      </w:r>
    </w:p>
    <w:p>
      <w:r>
        <w:t>Positive Marks: 1</w:t>
      </w:r>
    </w:p>
    <w:p>
      <w:r>
        <w:t>Negative Marks: 0.33</w:t>
      </w:r>
    </w:p>
    <w:p>
      <w:r>
        <w:t>Question: Type IV hypersensitivity is also known as:</w:t>
      </w:r>
    </w:p>
    <w:p>
      <w:r>
        <w:t>(a) Immediate-type hypersensitivity mediated by IgE</w:t>
      </w:r>
    </w:p>
    <w:p>
      <w:r>
        <w:t>(b) Immune complex-mediated hypersensitivity</w:t>
      </w:r>
    </w:p>
    <w:p>
      <w:r>
        <w:t>(c) Cytotoxic hypersensitivity mediated by antibodies</w:t>
      </w:r>
    </w:p>
    <w:p>
      <w:r>
        <w:t>(d) Delayed-type hypersensitivity mediated by T cells</w:t>
      </w:r>
    </w:p>
    <w:p>
      <w:r>
        <w:t>Answer: d</w:t>
      </w:r>
    </w:p>
    <w:p>
      <w:r>
        <w:t>Solution: Type IV hypersensitivity is delayed-type hypersensitivity (DTH) mediated by CD4+ T cells and macrophages, typically manifesting 24-72 hours after antigen exposure. It does not involve antibodies or immediate mast cell response. Options b, c, and d describe Type I, Type II, and Type III respectively. Memory aid: Type IV = T cells (both start with T).</w:t>
      </w:r>
    </w:p>
    <w:p>
      <w:r>
        <w:t>Positive Marks: 1</w:t>
      </w:r>
    </w:p>
    <w:p>
      <w:r>
        <w:t>Negative Marks: 0.33</w:t>
      </w:r>
    </w:p>
    <w:p>
      <w:r>
        <w:t>Question: A medical device manufacturing facility must sterilize three categories of products: aqueous parenteral solutions, mineral oil-based pharmaceutical formulations, and stainless steel surgical instruments. For optimal cost-effectiveness, regulatory compliance, and product integrity, which sterilization approach is MOST appropriate?</w:t>
      </w:r>
    </w:p>
    <w:p>
      <w:r>
        <w:t>(a) Ethylene oxide sterilization for all products to ensure consistency and regulatory simplification</w:t>
      </w:r>
    </w:p>
    <w:p>
      <w:r>
        <w:t>(b) Hot air oven exclusively for all materials as the most economical single method</w:t>
      </w:r>
    </w:p>
    <w:p>
      <w:r>
        <w:t>(c) Extended autoclave cycles for all products with supplementary steam injection for oil penetration</w:t>
      </w:r>
    </w:p>
    <w:p>
      <w:r>
        <w:t>(d) Autoclave for aqueous solutions and instruments; hot air oven for oil-based formulations</w:t>
      </w:r>
    </w:p>
    <w:p>
      <w:r>
        <w:t>Answer: d</w:t>
      </w:r>
    </w:p>
    <w:p>
      <w:r>
        <w:t>Solution: This combination addresses the sterilization requirements of each category: autoclave efficiently sterilizes aqueous solutions (short cycles) and instruments (excellent for metals); hot air oven protects oil-based products from steam-induced hydrolysis and rancidity. This approach minimizes costs by using each method optimally. Hot air oven alone would be uneconomically slow for solutions/instruments; ethylene oxide is expensive and requires validation/ventilation; extended autoclave cycles with extra steam would damage oils and waste energy. This represents best practice in pharmaceutical sterilization.</w:t>
      </w:r>
    </w:p>
    <w:p>
      <w:r>
        <w:t>Positive Marks: 1</w:t>
      </w:r>
    </w:p>
    <w:p>
      <w:r>
        <w:t>Negative Marks: 0.33</w:t>
      </w:r>
    </w:p>
    <w:p>
      <w:r>
        <w:t>Question: A patient presents with high fever (40°C), severe arthritis of hands and feet lasting 8 weeks, and previous dengue infection. What is the most likely diagnosis?</w:t>
      </w:r>
    </w:p>
    <w:p>
      <w:r>
        <w:t>(a) Reactive arthritis</w:t>
      </w:r>
    </w:p>
    <w:p>
      <w:r>
        <w:t>(b) Chikungunya fever</w:t>
      </w:r>
    </w:p>
    <w:p>
      <w:r>
        <w:t>(c) Lyme arthritis</w:t>
      </w:r>
    </w:p>
    <w:p>
      <w:r>
        <w:t>(d) Dengue fever recurrence</w:t>
      </w:r>
    </w:p>
    <w:p>
      <w:r>
        <w:t>Answer: b</w:t>
      </w:r>
    </w:p>
    <w:p>
      <w:r>
        <w:t>Solution: The clinical presentation of prolonged severe polyarthritis affecting small joints lasting weeks to months following dengue exposure strongly suggests chikungunya fever, not dengue recurrence which causes mild arthralgia. Chikungunya causes incapacitating arthritis with chronic sequelae lasting months to years. Lyme disease involves different joints and occurs in different geographic areas. The distinctive chronic arthritis is pathognomonic for chikungunya.</w:t>
      </w:r>
    </w:p>
    <w:p>
      <w:r>
        <w:t>Positive Marks: 1</w:t>
      </w:r>
    </w:p>
    <w:p>
      <w:r>
        <w:t>Negative Marks: 0.33</w:t>
      </w:r>
    </w:p>
    <w:p>
      <w:r>
        <w:t>Question: Patient with suspected varicella (chickenpox) should be placed in:</w:t>
      </w:r>
    </w:p>
    <w:p>
      <w:r>
        <w:t>(a) Standard room with other ambulatory patients</w:t>
      </w:r>
    </w:p>
    <w:p>
      <w:r>
        <w:t>(b) Any private room with standard precautions</w:t>
      </w:r>
    </w:p>
    <w:p>
      <w:r>
        <w:t>(c) Positive-pressure room with HEPA filtration</w:t>
      </w:r>
    </w:p>
    <w:p>
      <w:r>
        <w:t>(d) Negative-pressure airborne isolation room</w:t>
      </w:r>
    </w:p>
    <w:p>
      <w:r>
        <w:t>Answer: d</w:t>
      </w:r>
    </w:p>
    <w:p>
      <w:r>
        <w:t>Solution: Varicella requires airborne precautions in negative-pressure rooms to contain airborne viral particles and prevent transmission. Negative pressure ensures air flows inward from cleaner areas. Standard rooms (option a) allow spread to other patients. Positive-pressure rooms (option c) are contraindicated as they expel contaminated air outward. Airborne precautions are mandatory, not optional. Varicella is highly contagious 1-2 days before rash appears.</w:t>
      </w:r>
    </w:p>
    <w:p>
      <w:r>
        <w:t>Positive Marks: 1</w:t>
      </w:r>
    </w:p>
    <w:p>
      <w:r>
        <w:t>Negative Marks: 0.33</w:t>
      </w:r>
    </w:p>
    <w:p>
      <w:r>
        <w:t>Question: Coxsackievirus and Echo virus are classified together with poliovirus under which category?</w:t>
      </w:r>
    </w:p>
    <w:p>
      <w:r>
        <w:t>(a) Rotaviruses</w:t>
      </w:r>
    </w:p>
    <w:p>
      <w:r>
        <w:t>(b) Enteroviruses</w:t>
      </w:r>
    </w:p>
    <w:p>
      <w:r>
        <w:t>(c) Rhinoviruses</w:t>
      </w:r>
    </w:p>
    <w:p>
      <w:r>
        <w:t>(d) Caliciviruses</w:t>
      </w:r>
    </w:p>
    <w:p>
      <w:r>
        <w:t>Answer: b</w:t>
      </w:r>
    </w:p>
    <w:p>
      <w:r>
        <w:t>Solution: Coxsackievirus, Echo virus, and poliovirus are all members of the Enterovirus genus within Picornaviridae. Rhinoviruses are distinct picornaviruses that cause common cold. Caliciviruses include norovirus and sapovirus. Rotaviruses belong to Reoviridae family. The shared characteristic is replication in the enteric tract and transmission via fecal-oral route.</w:t>
      </w:r>
    </w:p>
    <w:p>
      <w:r>
        <w:t>Positive Marks: 1</w:t>
      </w:r>
    </w:p>
    <w:p>
      <w:r>
        <w:t>Negative Marks: 0.33</w:t>
      </w:r>
    </w:p>
    <w:p>
      <w:r>
        <w:t>Question: Which of the following best describes sensitivity and specificity in serological tests?</w:t>
      </w:r>
    </w:p>
    <w:p>
      <w:r>
        <w:t>(a) Sensitivity = ability to correctly identify diseased individuals (true positive rate); Specificity = ability to correctly identify non-diseased individuals (true negative rate)</w:t>
      </w:r>
    </w:p>
    <w:p>
      <w:r>
        <w:t>(b) Sensitivity is the cost of the test while specificity is its accuracy</w:t>
      </w:r>
    </w:p>
    <w:p>
      <w:r>
        <w:t>(c) Sensitivity is used for acute infections while specificity is for chronic infections</w:t>
      </w:r>
    </w:p>
    <w:p>
      <w:r>
        <w:t>(d) Both terms are synonymous and used interchangeably</w:t>
      </w:r>
    </w:p>
    <w:p>
      <w:r>
        <w:t>Answer: a</w:t>
      </w:r>
    </w:p>
    <w:p>
      <w:r>
        <w:t>Solution: Sensitivity measures the proportion of truly infected individuals who test positive (true positives / all diseased). Specificity measures the proportion of truly uninfected individuals who test negative (true negatives / all uninfected). A highly sensitive test is good for screening (few false negatives), while a highly specific test is good for confirmation (few false positives). These are distinct and complementary parameters. MEMORY: SeNsitivity = catches disease; Specificity = confirms health.</w:t>
      </w:r>
    </w:p>
    <w:p>
      <w:r>
        <w:t>Positive Marks: 1</w:t>
      </w:r>
    </w:p>
    <w:p>
      <w:r>
        <w:t>Negative Marks: 0.33</w:t>
      </w:r>
    </w:p>
    <w:p>
      <w:r>
        <w:t>Question: Cutaneous larva migrans (creeping eruption) is most commonly caused by:</w:t>
      </w:r>
    </w:p>
    <w:p>
      <w:r>
        <w:t>(a) Trichuris trichiura larvae in dermis</w:t>
      </w:r>
    </w:p>
    <w:p>
      <w:r>
        <w:t>(b) Taenia solium cysticerci in subcutaneous tissue</w:t>
      </w:r>
    </w:p>
    <w:p>
      <w:r>
        <w:t>(c) Hookworm (Necator/Ancylostoma) larvae in skin</w:t>
      </w:r>
    </w:p>
    <w:p>
      <w:r>
        <w:t>(d) Ascaris lumbricoides larvae penetrating skin</w:t>
      </w:r>
    </w:p>
    <w:p>
      <w:r>
        <w:t>Answer: c</w:t>
      </w:r>
    </w:p>
    <w:p>
      <w:r>
        <w:t>Solution: Cutaneous larva migrans results when hookworm larvae penetrate bare skin and migrate through the dermis-epidermis junction, creating characteristic serpigenous (snake-like) tracts with intense pruritus. Ascaris larvae migrate through lungs, not skin; Taenia solium causes neurocysticercosis; Trichuris does not produce skin manifestations. This condition is commonly acquired on contaminated beaches or sandy soil in tropical endemic regions.</w:t>
      </w:r>
    </w:p>
    <w:p>
      <w:r>
        <w:t>Positive Marks: 1</w:t>
      </w:r>
    </w:p>
    <w:p>
      <w:r>
        <w:t>Negative Marks: 0.33</w:t>
      </w:r>
    </w:p>
    <w:p>
      <w:r>
        <w:t>Question: The most effective prevention strategy for rabies in the community is?</w:t>
      </w:r>
    </w:p>
    <w:p>
      <w:r>
        <w:t>(a) Elimination and vaccination of animal reservoirs</w:t>
      </w:r>
    </w:p>
    <w:p>
      <w:r>
        <w:t>(b) Mass treatment of suspected cases</w:t>
      </w:r>
    </w:p>
    <w:p>
      <w:r>
        <w:t>(c) Improved sanitation and hygiene</w:t>
      </w:r>
    </w:p>
    <w:p>
      <w:r>
        <w:t>(d) Vaccination of humans at risk</w:t>
      </w:r>
    </w:p>
    <w:p>
      <w:r>
        <w:t>Answer: a</w:t>
      </w:r>
    </w:p>
    <w:p>
      <w:r>
        <w:t>Solution: The most effective prevention is elimination and vaccination of animal reservoirs, particularly dogs, which account for up to 99% of human rabies deaths globally. Many developed countries have achieved rabies control through dog vaccination programs. Human vaccination at risk (healthcare workers, veterinarians, animal handlers) provides personal protection. Post-exposure prophylaxis prevents symptomatic disease in exposed individuals. Improved sanitation and general hygiene do not prevent rabies transmission. The WHO recommends 'Rabies Zero' initiative focusing on dog vaccination.</w:t>
      </w:r>
    </w:p>
    <w:p>
      <w:r>
        <w:t>Positive Marks: 1</w:t>
      </w:r>
    </w:p>
    <w:p>
      <w:r>
        <w:t>Negative Marks: 0.33</w:t>
      </w:r>
    </w:p>
    <w:p>
      <w:r>
        <w:t>Question: A child develops hemolytic uremic syndrome following STEC O157:H7 infection. What is the key clinical finding that distinguishes it from thrombotic thrombocytopenic purpura (TTP)?</w:t>
      </w:r>
    </w:p>
    <w:p>
      <w:r>
        <w:t>(a) HUS presents with bloody diarrhea; TTP presents with purpura only</w:t>
      </w:r>
    </w:p>
    <w:p>
      <w:r>
        <w:t>(b) HUS occurs only in children; TTP occurs only in adults</w:t>
      </w:r>
    </w:p>
    <w:p>
      <w:r>
        <w:t>(c) HUS has prominent renal involvement with normal neurological status; TTP has neurological symptoms with milder renal disease</w:t>
      </w:r>
    </w:p>
    <w:p>
      <w:r>
        <w:t>(d) HUS is caused by Shiga toxin; TTP is caused by bacterial endotoxin</w:t>
      </w:r>
    </w:p>
    <w:p>
      <w:r>
        <w:t>Answer: c</w:t>
      </w:r>
    </w:p>
    <w:p>
      <w:r>
        <w:t>Solution: HUS (typically post-diarrheal) is characterized by microangiopathic hemolytic anemia, thrombocytopenia, and acute kidney injury (renal-predominant manifestations) with normal neurological status. TTP presents with the classic pentad including fever, thrombocytopenia, MAHA, renal dysfunction, AND neurological symptoms (stroke, confusion). Neurological involvement distinguishes TTP. Both share MAHA and thrombocytopenia but differ in clinical presentation and etiology. Recognizing HUS in a child with preceding diarrhea and preserved cognition aids rapid diagnosis.</w:t>
      </w:r>
    </w:p>
    <w:p>
      <w:r>
        <w:t>Positive Marks: 1</w:t>
      </w:r>
    </w:p>
    <w:p>
      <w:r>
        <w:t>Negative Marks: 0.33</w:t>
      </w:r>
    </w:p>
    <w:p>
      <w:r>
        <w:t>Question: Which respiratory virus infection is CLASSICALLY associated with croup (laryngotracheobronchitis)?</w:t>
      </w:r>
    </w:p>
    <w:p>
      <w:r>
        <w:t>(a) Severe acute respiratory syndrome coronavirus 2 (SARS-CoV-2)</w:t>
      </w:r>
    </w:p>
    <w:p>
      <w:r>
        <w:t>(b) Influenza A virus</w:t>
      </w:r>
    </w:p>
    <w:p>
      <w:r>
        <w:t>(c) Parainfluenza virus</w:t>
      </w:r>
    </w:p>
    <w:p>
      <w:r>
        <w:t>(d) Respiratory syncytial virus (RSV)</w:t>
      </w:r>
    </w:p>
    <w:p>
      <w:r>
        <w:t>Answer: c</w:t>
      </w:r>
    </w:p>
    <w:p>
      <w:r>
        <w:t>Solution: Parainfluenza viruses are the most common cause of croup, presenting with barky seal-like cough and stridor, primarily in children. Influenza A causes severe respiratory disease but not classic croup. SARS-CoV-2 causes atypical presentations without classic croup features. RSV causes bronchiolitis in infants rather than croup. Parainfluenza's predilection for the subglottic region explains the characteristic croup presentation.</w:t>
      </w:r>
    </w:p>
    <w:p>
      <w:r>
        <w:t>Positive Marks: 1</w:t>
      </w:r>
    </w:p>
    <w:p>
      <w:r>
        <w:t>Negative Marks: 0.33</w:t>
      </w:r>
    </w:p>
    <w:p>
      <w:r>
        <w:t>Question: A patient is diagnosed with a multidrug-resistant (MDR) organism. This means the pathogen is resistant to:</w:t>
      </w:r>
    </w:p>
    <w:p>
      <w:r>
        <w:t>(a) Only oral antibiotics</w:t>
      </w:r>
    </w:p>
    <w:p>
      <w:r>
        <w:t>(b) Antibiotics belonging to the penicillin family only</w:t>
      </w:r>
    </w:p>
    <w:p>
      <w:r>
        <w:t>(c) All known antibiotics</w:t>
      </w:r>
    </w:p>
    <w:p>
      <w:r>
        <w:t>(d) At least three different classes of antibiotics</w:t>
      </w:r>
    </w:p>
    <w:p>
      <w:r>
        <w:t>Answer: d</w:t>
      </w:r>
    </w:p>
    <w:p>
      <w:r>
        <w:t>Solution: MDR is defined as resistance to at least 3 different antimicrobial classes (e.g., beta-lactams, fluoroquinolones, macrolides). Option c describes 'pan-resistant' organisms (rare); c omits parenteral drugs; d is too narrow. This definition is crucial for epidemiological surveillance and clinical decision-making.</w:t>
      </w:r>
    </w:p>
    <w:p>
      <w:r>
        <w:t>Positive Marks: 1</w:t>
      </w:r>
    </w:p>
    <w:p>
      <w:r>
        <w:t>Negative Marks: 0.33</w:t>
      </w:r>
    </w:p>
    <w:p>
      <w:r>
        <w:t>Question: Which enzyme produced by Staphylococcus aureus is responsible for tissue invasion and does NOT include hyaluronidase?</w:t>
      </w:r>
    </w:p>
    <w:p>
      <w:r>
        <w:t>(a) Lipase alone</w:t>
      </w:r>
    </w:p>
    <w:p>
      <w:r>
        <w:t>(b) Collagenase alone</w:t>
      </w:r>
    </w:p>
    <w:p>
      <w:r>
        <w:t>(c) Coagulase alone</w:t>
      </w:r>
    </w:p>
    <w:p>
      <w:r>
        <w:t>(d) All: lipase, collagenase, and coagulase</w:t>
      </w:r>
    </w:p>
    <w:p>
      <w:r>
        <w:t>Answer: d</w:t>
      </w:r>
    </w:p>
    <w:p>
      <w:r>
        <w:t>Solution: S. aureus produces multiple invasive enzymes: hyaluronidase (spreads in tissues), lipase (fat destruction), collagenase (tissue breakdown), and coagulase (protection from phagocytosis). All these factors work synergistically for pathogenesis. None alone is sufficient—the combination enables aggressive tissue invasion. Understanding this enzyme arsenal is crucial for comprehending S. aureus pathogenic mechanisms in exams.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