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TB patient in airborne isolation becomes smear-negative on therapy. When discontinue isolation:</w:t>
      </w:r>
    </w:p>
    <w:p>
      <w:r>
        <w:t>(a) Immediately after first negative sputum smear</w:t>
      </w:r>
    </w:p>
    <w:p>
      <w:r>
        <w:t>(b) After two consecutive negative sputum smears on separate days, typically 2 weeks therapy</w:t>
      </w:r>
    </w:p>
    <w:p>
      <w:r>
        <w:t>(c) Only when patient discharged from hospital</w:t>
      </w:r>
    </w:p>
    <w:p>
      <w:r>
        <w:t>(d) After clinical improvement and symptoms resolve</w:t>
      </w:r>
    </w:p>
    <w:p>
      <w:r>
        <w:t>Answer: b</w:t>
      </w:r>
    </w:p>
    <w:p>
      <w:r>
        <w:t>Solution: TB isolation can be discontinued after two consecutive negative sputum smears on separate days (24 hours apart) plus appropriate anti-TB therapy for at least 2 weeks, indicating reduced infectivity. Option a requires smear confirmation on separate days. Option d is vague; clinical improvement doesn't immediately reduce infectivity. Option c is overly restrictive as infectivity decreases before discharge. The two-smear standard ensures patient is truly non-infectious before precaution discontinuation.</w:t>
      </w:r>
    </w:p>
    <w:p>
      <w:r>
        <w:t>Positive Marks: 1</w:t>
      </w:r>
    </w:p>
    <w:p>
      <w:r>
        <w:t>Negative Marks: 0.33</w:t>
      </w:r>
    </w:p>
    <w:p>
      <w:r>
        <w:t>Question: The stool specimen in cholera is classically described as:</w:t>
      </w:r>
    </w:p>
    <w:p>
      <w:r>
        <w:t>(a) 'Fatty stool' with oily appearance and steatorrhea characteristics</w:t>
      </w:r>
    </w:p>
    <w:p>
      <w:r>
        <w:t>(b) 'Currant jelly stool' - dark red, bloody, mucoid with stringy appearance</w:t>
      </w:r>
    </w:p>
    <w:p>
      <w:r>
        <w:t>(c) 'Rice-water stool' - colorless, odorless, watery with small white flecks</w:t>
      </w:r>
    </w:p>
    <w:p>
      <w:r>
        <w:t>(d) 'Pale watery stool' with greenish or yellowish tinge and fecal odor</w:t>
      </w:r>
    </w:p>
    <w:p>
      <w:r>
        <w:t>Answer: c</w:t>
      </w:r>
    </w:p>
    <w:p>
      <w:r>
        <w:t>Solution: 'Rice-water stool' is the pathognomonic finding in cholera—clear, watery fluid with small white flecks resembling rice water in appearance. Currant jelly stools indicate dysentery from Shigella/Salmonella. Greenish tinge occurs in other GI conditions; fatty stools suggest malabsorption. The rice-water character reflects the secretory non-inflammatory nature without mucosal damage; absence of blood and fever are distinguishing features. This classic description is important for clinical diagnosis and prompt recognition.</w:t>
      </w:r>
    </w:p>
    <w:p>
      <w:r>
        <w:t>Positive Marks: 1</w:t>
      </w:r>
    </w:p>
    <w:p>
      <w:r>
        <w:t>Negative Marks: 0.33</w:t>
      </w:r>
    </w:p>
    <w:p>
      <w:r>
        <w:t>Question: What is the pathophysiological significance of 'cytokine storm' in severe COVID-19?</w:t>
      </w:r>
    </w:p>
    <w:p>
      <w:r>
        <w:t>(a) Increased antiviral interferon production that prevents viral replication</w:t>
      </w:r>
    </w:p>
    <w:p>
      <w:r>
        <w:t>(b) Cytokine depletion leading to immunosuppression</w:t>
      </w:r>
    </w:p>
    <w:p>
      <w:r>
        <w:t>(c) Uncontrolled pro-inflammatory cytokine release (IL-6, TNF-alpha) causing tissue damage, thrombosis, and multi-organ failure</w:t>
      </w:r>
    </w:p>
    <w:p>
      <w:r>
        <w:t>(d) Normal immune response equivalent to common cold</w:t>
      </w:r>
    </w:p>
    <w:p>
      <w:r>
        <w:t>Answer: c</w:t>
      </w:r>
    </w:p>
    <w:p>
      <w:r>
        <w:t>Solution: Cytokine storm represents excessive host inflammatory response disproportionate to viral load, mediated by IL-6, TNF-alpha, IL-1, contributing to ARDS, disseminated intravascular coagulation, and multi-organ failure. Paradoxically, severely immunocompromised patients sometimes have better outcomes due to limited cytokine production. This explains why immunomodulatory therapies (dexamethasone, tocilizumab) benefit severe COVID-19. The 'second wave' of mortality reflects cytokine storm rather than viral replication.</w:t>
      </w:r>
    </w:p>
    <w:p>
      <w:r>
        <w:t>Positive Marks: 1</w:t>
      </w:r>
    </w:p>
    <w:p>
      <w:r>
        <w:t>Negative Marks: 0.33</w:t>
      </w:r>
    </w:p>
    <w:p>
      <w:r>
        <w:t>Question: Varicella vaccine is a live attenuated vaccine. According to immunization guidelines, what is the minimum interval between varicella vaccine and another live attenuated vaccine like MMR if not given simultaneously?</w:t>
      </w:r>
    </w:p>
    <w:p>
      <w:r>
        <w:t>(a) 8 weeks</w:t>
      </w:r>
    </w:p>
    <w:p>
      <w:r>
        <w:t>(b) 3 weeks</w:t>
      </w:r>
    </w:p>
    <w:p>
      <w:r>
        <w:t>(c) 2 weeks</w:t>
      </w:r>
    </w:p>
    <w:p>
      <w:r>
        <w:t>(d) 4 weeks</w:t>
      </w:r>
    </w:p>
    <w:p>
      <w:r>
        <w:t>Answer: d</w:t>
      </w:r>
    </w:p>
    <w:p>
      <w:r>
        <w:t>Solution: The minimum interval between two live attenuated vaccines is 4 weeks if not administered simultaneously. This allows the immune system to mount response to the first vaccine without interference from the second. If both vaccines are given on the same day, no interval is required. This 4-week rule prevents vaccine-virus interference and ensures optimal immunogenicity of both vaccines.</w:t>
      </w:r>
    </w:p>
    <w:p>
      <w:r>
        <w:t>Positive Marks: 1</w:t>
      </w:r>
    </w:p>
    <w:p>
      <w:r>
        <w:t>Negative Marks: 0.33</w:t>
      </w:r>
    </w:p>
    <w:p>
      <w:r>
        <w:t>Question: In a nursing care plan for a child with complicated Ascaris intestinal obstruction, what is the PRIMARY immediate management priority?</w:t>
      </w:r>
    </w:p>
    <w:p>
      <w:r>
        <w:t>(a) Dietary management with liquid foods and laxatives</w:t>
      </w:r>
    </w:p>
    <w:p>
      <w:r>
        <w:t>(b) Surgical intervention with fluid resuscitation and supportive care</w:t>
      </w:r>
    </w:p>
    <w:p>
      <w:r>
        <w:t>(c) High-dose anthelmintic therapy with nasogastric decompression</w:t>
      </w:r>
    </w:p>
    <w:p>
      <w:r>
        <w:t>(d) Long-term oral anthelmintic prophylaxis and dietary modification</w:t>
      </w:r>
    </w:p>
    <w:p>
      <w:r>
        <w:t>Answer: b</w:t>
      </w:r>
    </w:p>
    <w:p>
      <w:r>
        <w:t>Solution: Acute intestinal obstruction requires surgical intervention (enterotomy or resection) combined with fluid and electrolyte replacement and supportive measures; anthelmintics are contraindicated during acute obstruction as worm death increases edema and worsens obstruction. Nasogastric decompression alone is insufficient for mechanical blockade. Anthelmintics should be deferred 2-3 weeks post-surgery until inflammation subsides. Nursing care includes preoperative assessment, postoperative wound management, fluid/electrolyte monitoring, and nutritional rehabilitation.</w:t>
      </w:r>
    </w:p>
    <w:p>
      <w:r>
        <w:t>Positive Marks: 1</w:t>
      </w:r>
    </w:p>
    <w:p>
      <w:r>
        <w:t>Negative Marks: 0.33</w:t>
      </w:r>
    </w:p>
    <w:p>
      <w:r>
        <w:t>Question: A 35-year-old patient with newly diagnosed TB is started on isoniazid, rifampicin, pyrazinamide, and ethambutol for 2 months. Which mutation in M. tuberculosis is primarily responsible for isoniazid resistance?</w:t>
      </w:r>
    </w:p>
    <w:p>
      <w:r>
        <w:t>(a) Mutation in dihydrofolate reductase gene</w:t>
      </w:r>
    </w:p>
    <w:p>
      <w:r>
        <w:t>(b) Mutation in catalase-peroxidase gene (katG)</w:t>
      </w:r>
    </w:p>
    <w:p>
      <w:r>
        <w:t>(c) Mutation in RNA polymerase gene (rpoB)</w:t>
      </w:r>
    </w:p>
    <w:p>
      <w:r>
        <w:t>(d) Mutation in DNA gyrase gene</w:t>
      </w:r>
    </w:p>
    <w:p>
      <w:r>
        <w:t>Answer: b</w:t>
      </w:r>
    </w:p>
    <w:p>
      <w:r>
        <w:t>Solution: Isoniazid resistance develops through mutations in the katG gene (encodes catalase-peroxidase enzyme), which normally converts isoniazid prodrug to its active form. Without katG, isoniazid cannot be activated and cannot inhibit mycolic acid synthesis. rpoB mutations cause rifampicin resistance. Dihydrofolate reductase mutations are associated with sulfonamide resistance. DNA gyrase mutations cause fluoroquinolone resistance. KEY: 'INH resistance = katG mutation.'</w:t>
      </w:r>
    </w:p>
    <w:p>
      <w:r>
        <w:t>Positive Marks: 1</w:t>
      </w:r>
    </w:p>
    <w:p>
      <w:r>
        <w:t>Negative Marks: 0.33</w:t>
      </w:r>
    </w:p>
    <w:p>
      <w:r>
        <w:t>Question: During outbreak investigation, what is the significance of identifying and monitoring close contacts of affected cases?</w:t>
      </w:r>
    </w:p>
    <w:p>
      <w:r>
        <w:t>(a) To identify healthcare workers responsible for transmission</w:t>
      </w:r>
    </w:p>
    <w:p>
      <w:r>
        <w:t>(b) To detect secondary cases early through surveillance, apply prophylaxis if indicated, and prevent onward transmission through isolation/quarantine</w:t>
      </w:r>
    </w:p>
    <w:p>
      <w:r>
        <w:t>(c) To collect additional laboratory samples</w:t>
      </w:r>
    </w:p>
    <w:p>
      <w:r>
        <w:t>(d) To determine who will develop severe disease</w:t>
      </w:r>
    </w:p>
    <w:p>
      <w:r>
        <w:t>Answer: b</w:t>
      </w:r>
    </w:p>
    <w:p>
      <w:r>
        <w:t>Solution: Close contact monitoring enables early detection of secondary/tertiary cases (active surveillance), application of post-exposure prophylaxis (if effective), and timely isolation to interrupt chain of transmission. B is investigative (not clinical focus), C cannot be predicted accurately, and D is secondary benefit. Contact tracing is essential for person-to-person and contact-transmission outbreaks. Effectiveness depends on prompt identification and follow-up.</w:t>
      </w:r>
    </w:p>
    <w:p>
      <w:r>
        <w:t>Positive Marks: 1</w:t>
      </w:r>
    </w:p>
    <w:p>
      <w:r>
        <w:t>Negative Marks: 0.33</w:t>
      </w:r>
    </w:p>
    <w:p>
      <w:r>
        <w:t>Question: Alpha-hemolysis producing 'greening' on blood agar is most characteristic of:</w:t>
      </w:r>
    </w:p>
    <w:p>
      <w:r>
        <w:t>(a) Staphylococcus aureus</w:t>
      </w:r>
    </w:p>
    <w:p>
      <w:r>
        <w:t>(b) Streptococcus viridans</w:t>
      </w:r>
    </w:p>
    <w:p>
      <w:r>
        <w:t>(c) Streptococcus pyogenes</w:t>
      </w:r>
    </w:p>
    <w:p>
      <w:r>
        <w:t>(d) Streptococcus agalactiae</w:t>
      </w:r>
    </w:p>
    <w:p>
      <w:r>
        <w:t>Answer: b</w:t>
      </w:r>
    </w:p>
    <w:p>
      <w:r>
        <w:t>Solution: S. viridans is an alpha-hemolytic (greenish discoloration) viridans group streptococcus found as oral normal flora. S. pyogenes is beta-hemolytic (clear zones), not alpha. S. aureus may show variable hemolysis but not the classic green coloration. S. agalactiae is typically beta-hemolytic. Mnemonic: Viridans = Viridis (green) = Alpha hemolysis.</w:t>
      </w:r>
    </w:p>
    <w:p>
      <w:r>
        <w:t>Positive Marks: 1</w:t>
      </w:r>
    </w:p>
    <w:p>
      <w:r>
        <w:t>Negative Marks: 0.33</w:t>
      </w:r>
    </w:p>
    <w:p>
      <w:r>
        <w:t>Question: In a hospital setting, which of the following is the MOST effective single intervention to reduce MRSA transmission?</w:t>
      </w:r>
    </w:p>
    <w:p>
      <w:r>
        <w:t>(a) Hand hygiene compliance exceeding 80%</w:t>
      </w:r>
    </w:p>
    <w:p>
      <w:r>
        <w:t>(b) Routine screening of all admitted patients</w:t>
      </w:r>
    </w:p>
    <w:p>
      <w:r>
        <w:t>(c) Prescribing vancomycin for all respiratory infections</w:t>
      </w:r>
    </w:p>
    <w:p>
      <w:r>
        <w:t>(d) Environmental surface disinfection alone</w:t>
      </w:r>
    </w:p>
    <w:p>
      <w:r>
        <w:t>Answer: a</w:t>
      </w:r>
    </w:p>
    <w:p>
      <w:r>
        <w:t>Solution: Hand hygiene is the cornerstone of infection prevention and is most effective at reducing MRSA transmission, as MRSA is primarily spread via contaminated hands and surfaces. Option c is inappropriate prescribing; c alone has limited impact without follow-up isolation; d without hand hygiene is insufficient. WHO and CDC guidelines prioritize hand hygiene as step 1.</w:t>
      </w:r>
    </w:p>
    <w:p>
      <w:r>
        <w:t>Positive Marks: 1</w:t>
      </w:r>
    </w:p>
    <w:p>
      <w:r>
        <w:t>Negative Marks: 0.33</w:t>
      </w:r>
    </w:p>
    <w:p>
      <w:r>
        <w:t>Question: Trichophyton mentagrophytes is MOST likely to cause which clinical presentation?</w:t>
      </w:r>
    </w:p>
    <w:p>
      <w:r>
        <w:t>(a) Pale brown, non-pruritic patches</w:t>
      </w:r>
    </w:p>
    <w:p>
      <w:r>
        <w:t>(b) Painless nodular lesions on palms and soles</w:t>
      </w:r>
    </w:p>
    <w:p>
      <w:r>
        <w:t>(c) Chronic, non-inflammatory, deep-red scaly patches</w:t>
      </w:r>
    </w:p>
    <w:p>
      <w:r>
        <w:t>(d) Acute inflammatory lesions with vesiculation and maceration</w:t>
      </w:r>
    </w:p>
    <w:p>
      <w:r>
        <w:t>Answer: d</w:t>
      </w:r>
    </w:p>
    <w:p>
      <w:r>
        <w:t>Solution: Trichophyton mentagrophytes is zoophilic and causes acute inflammatory infections with characteristic vesiculation, maceration (especially interdigital), and dermatophytid reactions. It elicits a stronger host immune response than anthropophilic species. Option c describes T. rubrum (anthropophilic, chronic). Option a describes pityriasis versicolor (Malassezia). Option b describes sporotrichosis (Sporothrix). Clinically: T. mentagrophytes = acute &amp; inflammatory; T. rubrum = chronic &amp; minimal inflammation.</w:t>
      </w:r>
    </w:p>
    <w:p>
      <w:r>
        <w:t>Positive Marks: 1</w:t>
      </w:r>
    </w:p>
    <w:p>
      <w:r>
        <w:t>Negative Marks: 0.33</w:t>
      </w:r>
    </w:p>
    <w:p>
      <w:r>
        <w:t>Question: Which laboratory finding is most indicative of dengue shock syndrome due to plasma leakage?</w:t>
      </w:r>
    </w:p>
    <w:p>
      <w:r>
        <w:t>(a) Serum albumin elevation</w:t>
      </w:r>
    </w:p>
    <w:p>
      <w:r>
        <w:t>(b) Hemoglobin rise of 10% with hematocrit &gt;35%</w:t>
      </w:r>
    </w:p>
    <w:p>
      <w:r>
        <w:t>(c) Hemoglobin rise of 20% or more with hematocrit &gt;45%</w:t>
      </w:r>
    </w:p>
    <w:p>
      <w:r>
        <w:t>(d) Platelet count consistently &gt;150,000/μL</w:t>
      </w:r>
    </w:p>
    <w:p>
      <w:r>
        <w:t>Answer: c</w:t>
      </w:r>
    </w:p>
    <w:p>
      <w:r>
        <w:t>Solution: Dengue shock syndrome is defined by hemoconcentration (hemoglobin rise ≥20%, hematocrit &gt;45%) indicating plasma leakage into tissues. This finding must be accompanied by thrombocytopenia and hypotension. Hemoglobin rise of 10% is less significant. Platelet count &gt;150,000 excludes DSS. Hemoconcentration is a hallmark of plasma leakage pathophysiology and differentiates viral shock from sepsis.</w:t>
      </w:r>
    </w:p>
    <w:p>
      <w:r>
        <w:t>Positive Marks: 1</w:t>
      </w:r>
    </w:p>
    <w:p>
      <w:r>
        <w:t>Negative Marks: 0.33</w:t>
      </w:r>
    </w:p>
    <w:p>
      <w:r>
        <w:t>Question: What is the advantage of Kinyoun staining over Ziehl-Neelsen staining for AFB detection?</w:t>
      </w:r>
    </w:p>
    <w:p>
      <w:r>
        <w:t>(a) It provides better color differentiation</w:t>
      </w:r>
    </w:p>
    <w:p>
      <w:r>
        <w:t>(b) It takes less time than Ziehl-Neelsen</w:t>
      </w:r>
    </w:p>
    <w:p>
      <w:r>
        <w:t>(c) It does not require heating</w:t>
      </w:r>
    </w:p>
    <w:p>
      <w:r>
        <w:t>(d) It is more specific for Mycobacterium tuberculosis</w:t>
      </w:r>
    </w:p>
    <w:p>
      <w:r>
        <w:t>Answer: c</w:t>
      </w:r>
    </w:p>
    <w:p>
      <w:r>
        <w:t>Solution: Kinyoun staining (cold staining method) does not require heating because it uses a higher concentration of carbol fuchsin (5% vs. 1% in Ziehl-Neelsen). This is advantageous because it reduces heat damage to slides, tissue preparations, and is safer to perform. Ziehl-Neelsen requires heating at 65°C for 20 minutes. Both have similar time requirements and specificity. Color differentiation is comparable. For delicate or tissue samples, Kinyoun is preferred. However, sensitivity is similar between the two methods, and Ziehl-Neelsen remains the gold standard in many settings.</w:t>
      </w:r>
    </w:p>
    <w:p>
      <w:r>
        <w:t>Positive Marks: 1</w:t>
      </w:r>
    </w:p>
    <w:p>
      <w:r>
        <w:t>Negative Marks: 0.33</w:t>
      </w:r>
    </w:p>
    <w:p>
      <w:r>
        <w:t>Question: Penicillin G benzathine is the treatment of choice for primary and secondary syphilis primarily because:</w:t>
      </w:r>
    </w:p>
    <w:p>
      <w:r>
        <w:t>(a) It has better oral bioavailability than other penicillin formulations</w:t>
      </w:r>
    </w:p>
    <w:p>
      <w:r>
        <w:t>(b) It is less likely to cause Jarisch-Herxheimer reaction</w:t>
      </w:r>
    </w:p>
    <w:p>
      <w:r>
        <w:t>(c) It easily crosses the blood-brain barrier</w:t>
      </w:r>
    </w:p>
    <w:p>
      <w:r>
        <w:t>(d) It achieves adequate treponemicidal levels and provides long duration of action</w:t>
      </w:r>
    </w:p>
    <w:p>
      <w:r>
        <w:t>Answer: d</w:t>
      </w:r>
    </w:p>
    <w:p>
      <w:r>
        <w:t>Solution: Penicillin G benzathine (2.4 million units IM) provides adequate serum levels lasting 3+ weeks and maintains bactericidal concentrations against T. pallidum. Option C is incorrect; aqueous crystalline penicillin G (IV) is preferred for neurosyphilis due to superior CNS penetration. Option A is incorrect as benzathine form is given intramuscularly, not orally. Option B is incorrect as all penicillin formulations can trigger Jarisch-Herxheimer reaction. Key concept: 'Benzathine formulation = depot form with prolonged action.'</w:t>
      </w:r>
    </w:p>
    <w:p>
      <w:r>
        <w:t>Positive Marks: 1</w:t>
      </w:r>
    </w:p>
    <w:p>
      <w:r>
        <w:t>Negative Marks: 0.33</w:t>
      </w:r>
    </w:p>
    <w:p>
      <w:r>
        <w:t>Question: Which micronutrient serves as the central atom in the porphyrin ring structure of chlorophyll molecules in photosynthetic bacteria?</w:t>
      </w:r>
    </w:p>
    <w:p>
      <w:r>
        <w:t>(a) Iron</w:t>
      </w:r>
    </w:p>
    <w:p>
      <w:r>
        <w:t>(b) Copper</w:t>
      </w:r>
    </w:p>
    <w:p>
      <w:r>
        <w:t>(c) Magnesium</w:t>
      </w:r>
    </w:p>
    <w:p>
      <w:r>
        <w:t>(d) Zinc</w:t>
      </w:r>
    </w:p>
    <w:p>
      <w:r>
        <w:t>Answer: c</w:t>
      </w:r>
    </w:p>
    <w:p>
      <w:r>
        <w:t>Solution: Magnesium (Mg) is the central metal ion in all chlorophyll molecules, forming the core of the porphyrin ring and is absolutely essential for photosynthetic light absorption and energy transfer. Iron is found in cytochromes and electron transport chains; zinc and copper are cofactors in various oxidoreductase enzymes. Without adequate magnesium, photosynthetic bacteria cannot produce functional chlorophyll. This is distinct from heme synthesis which uses iron.</w:t>
      </w:r>
    </w:p>
    <w:p>
      <w:r>
        <w:t>Positive Marks: 1</w:t>
      </w:r>
    </w:p>
    <w:p>
      <w:r>
        <w:t>Negative Marks: 0.33</w:t>
      </w:r>
    </w:p>
    <w:p>
      <w:r>
        <w:t>Question: A 3-year-old child presents with fever, neck stiffness, and petechial rash. Blood culture and CSF culture grow gram-negative diplococci. Which capsular polysaccharide antigen is responsible for approximately 50-70% of meningococcal meningitis cases worldwide?</w:t>
      </w:r>
    </w:p>
    <w:p>
      <w:r>
        <w:t>(a) Capsular group C</w:t>
      </w:r>
    </w:p>
    <w:p>
      <w:r>
        <w:t>(b) Capsular group A</w:t>
      </w:r>
    </w:p>
    <w:p>
      <w:r>
        <w:t>(c) Capsular group W-135</w:t>
      </w:r>
    </w:p>
    <w:p>
      <w:r>
        <w:t>(d) Capsular group B</w:t>
      </w:r>
    </w:p>
    <w:p>
      <w:r>
        <w:t>Answer: d</w:t>
      </w:r>
    </w:p>
    <w:p>
      <w:r>
        <w:t>Solution: Capsular group B (serogroup B) accounts for 50-70% of meningococcal meningitis cases globally, particularly in developed countries and epidemic situations. Group A is historically important in African meningitis belt but less common in endemic areas. Groups C, W-135 cause smaller proportion of cases. The 13-valent and 4-valent meningococcal conjugate vaccines cover specific serogroups, with group B requiring separate MenB vaccination. Capsule is the major virulence factor and target for vaccines.</w:t>
      </w:r>
    </w:p>
    <w:p>
      <w:r>
        <w:t>Positive Marks: 1</w:t>
      </w:r>
    </w:p>
    <w:p>
      <w:r>
        <w:t>Negative Marks: 0.33</w:t>
      </w:r>
    </w:p>
    <w:p>
      <w:r>
        <w:t>Question: A bacterium isolated from cerebrospinal fluid shows Gram-negative diplococci with a distinctive kidney bean or coffee bean shape with flattened opposed surfaces on Gram stain. This morphological description is MOST diagnostic for:</w:t>
      </w:r>
    </w:p>
    <w:p>
      <w:r>
        <w:t>(a) Neisseria meningitidis based on the characteristic kidney bean shape with flattened surfaces</w:t>
      </w:r>
    </w:p>
    <w:p>
      <w:r>
        <w:t>(b) The organism's size is the most important morphological feature</w:t>
      </w:r>
    </w:p>
    <w:p>
      <w:r>
        <w:t>(c) The diplococcal arrangement alone is sufficient for identification</w:t>
      </w:r>
    </w:p>
    <w:p>
      <w:r>
        <w:t>(d) Any Gram-negative diplococcus requires only the Gram stain result</w:t>
      </w:r>
    </w:p>
    <w:p>
      <w:r>
        <w:t>Answer: a</w:t>
      </w:r>
    </w:p>
    <w:p>
      <w:r>
        <w:t>Solution: The pathognomonic kidney bean or coffee bean shape with flattened or indented contact surfaces between the two diplococci is highly characteristic of Neisseria meningitidis, especially when recovered from cerebrospinal fluid (the site of meningitis). While other organisms may be Gram-negative diplococci, this specific morphological configuration is diagnostic for N. meningitidis in clinical practice. The diplococcal arrangement alone is nonspecific (other organisms also form diplococci), organism size varies and is not the most important identifier, and Gram stain result alone is insufficient without morphological details. This distinctive appearance allows presumptive identification within hours, critical for initiating appropriate antimicrobial therapy in meningitis.</w:t>
      </w:r>
    </w:p>
    <w:p>
      <w:r>
        <w:t>Positive Marks: 1</w:t>
      </w:r>
    </w:p>
    <w:p>
      <w:r>
        <w:t>Negative Marks: 0.33</w:t>
      </w:r>
    </w:p>
    <w:p>
      <w:r>
        <w:t>Question: Which diagnostic method is most sensitive and specific for identifying Salmonella in blood culture?</w:t>
      </w:r>
    </w:p>
    <w:p>
      <w:r>
        <w:t>(a) PCR targeting 16S rRNA gene only</w:t>
      </w:r>
    </w:p>
    <w:p>
      <w:r>
        <w:t>(b) Direct antigen detection by ELISA</w:t>
      </w:r>
    </w:p>
    <w:p>
      <w:r>
        <w:t>(c) Culture on selective media (HE agar, XLD agar) with biochemical confirmation</w:t>
      </w:r>
    </w:p>
    <w:p>
      <w:r>
        <w:t>(d) Gram stain and morphology observation</w:t>
      </w:r>
    </w:p>
    <w:p>
      <w:r>
        <w:t>Answer: c</w:t>
      </w:r>
    </w:p>
    <w:p>
      <w:r>
        <w:t>Solution: Culture on selective media with biochemical confirmation remains the gold standard for Salmonella isolation from blood. Selective media (Hektoen enteric, Xylose lysine deoxycholate) inhibit gram-positive and coliforms while allowing Salmonella growth. Biochemical tests (oxidase negative, catalase positive, TSI, LDC) confirm identification. Gram stain lacks specificity for Salmonella among gram-negatives. Antigen detection has lower sensitivity. PCR is rapid but 16S rRNA is not specific for Salmonella. Culture remains the reference standard for bacteremia diagnosis.</w:t>
      </w:r>
    </w:p>
    <w:p>
      <w:r>
        <w:t>Positive Marks: 1</w:t>
      </w:r>
    </w:p>
    <w:p>
      <w:r>
        <w:t>Negative Marks: 0.33</w:t>
      </w:r>
    </w:p>
    <w:p>
      <w:r>
        <w:t>Question: Which diagnostic test has the highest sensitivity and specificity for confirming rabies during life?</w:t>
      </w:r>
    </w:p>
    <w:p>
      <w:r>
        <w:t>(a) Direct fluorescent antibody staining of corneal scrapings</w:t>
      </w:r>
    </w:p>
    <w:p>
      <w:r>
        <w:t>(b) CT scan of brain</w:t>
      </w:r>
    </w:p>
    <w:p>
      <w:r>
        <w:t>(c) Serum rabies antibody detection</w:t>
      </w:r>
    </w:p>
    <w:p>
      <w:r>
        <w:t>(d) Saliva culture</w:t>
      </w:r>
    </w:p>
    <w:p>
      <w:r>
        <w:t>Answer: a</w:t>
      </w:r>
    </w:p>
    <w:p>
      <w:r>
        <w:t>Solution: Direct fluorescent antibody (DFA) staining of corneal scrapings, skin biopsies from nape of neck, or saliva is the best antemortem diagnostic test with high sensitivity (50-80%) and very high specificity. DFA demonstrates viral antigens using fluorescent-labeled antibodies. Serum antibodies develop late in infection. Saliva culture takes time. Neuroimaging shows non-specific changes. The gold standard postmortem diagnosis involves DFA or PCR of brain tissue. Corneal scraping is a rapid, non-invasive antemortem test.</w:t>
      </w:r>
    </w:p>
    <w:p>
      <w:r>
        <w:t>Positive Marks: 1</w:t>
      </w:r>
    </w:p>
    <w:p>
      <w:r>
        <w:t>Negative Marks: 0.33</w:t>
      </w:r>
    </w:p>
    <w:p>
      <w:r>
        <w:t>Question: Which of the following is characteristic of abortive poliomyelitis?</w:t>
      </w:r>
    </w:p>
    <w:p>
      <w:r>
        <w:t>(a) Mild flu-like symptoms without meningeal signs</w:t>
      </w:r>
    </w:p>
    <w:p>
      <w:r>
        <w:t>(b) Cranial nerve involvement with dysphagia</w:t>
      </w:r>
    </w:p>
    <w:p>
      <w:r>
        <w:t>(c) Encephalitis with altered consciousness</w:t>
      </w:r>
    </w:p>
    <w:p>
      <w:r>
        <w:t>(d) Severe paralysis with respiratory compromise</w:t>
      </w:r>
    </w:p>
    <w:p>
      <w:r>
        <w:t>Answer: a</w:t>
      </w:r>
    </w:p>
    <w:p>
      <w:r>
        <w:t>Solution: Abortive poliomyelitis is the mildest form presenting with mild systemic symptoms like malaise, fever, sore throat, and gastrointestinal disturbance, with complete recovery. Severe paralysis indicates paralytic poliomyelitis. Cranial nerve involvement suggests bulbar poliomyelitis. Encephalitis is not the primary feature of poliomyelitis. Abortive form occurs in approximately 1% of infections.</w:t>
      </w:r>
    </w:p>
    <w:p>
      <w:r>
        <w:t>Positive Marks: 1</w:t>
      </w:r>
    </w:p>
    <w:p>
      <w:r>
        <w:t>Negative Marks: 0.33</w:t>
      </w:r>
    </w:p>
    <w:p>
      <w:r>
        <w:t>Question: Which of the following culture media would be most appropriate for isolating Mycobacterium tuberculosis?</w:t>
      </w:r>
    </w:p>
    <w:p>
      <w:r>
        <w:t>(a) MacConkey agar</w:t>
      </w:r>
    </w:p>
    <w:p>
      <w:r>
        <w:t>(b) Thiosulfate-citrate-bile-sucrose agar</w:t>
      </w:r>
    </w:p>
    <w:p>
      <w:r>
        <w:t>(c) Lowenstein-Jensen (LJ) medium</w:t>
      </w:r>
    </w:p>
    <w:p>
      <w:r>
        <w:t>(d) Blood agar plate</w:t>
      </w:r>
    </w:p>
    <w:p>
      <w:r>
        <w:t>Answer: c</w:t>
      </w:r>
    </w:p>
    <w:p>
      <w:r>
        <w:t>Solution: Lowenstein-Jensen (LJ) medium is an enriched, selective medium specifically designed for mycobacterial culture, containing glycerol, mineral salts, and egg as a base, providing optimal nutrients while inhibiting contaminants. Blood agar (option D) is non-selective for mycobacteria. MacConkey (option A) inhibits mycobacteria. TCBS (option B) is for Vibrio species. LJ medium's egg-based formulation prevents contaminating organisms while supporting the slow-growing, acid-fast Mycobacterium tuberculosis essential for TB diagnosis.</w:t>
      </w:r>
    </w:p>
    <w:p>
      <w:r>
        <w:t>Positive Marks: 1</w:t>
      </w:r>
    </w:p>
    <w:p>
      <w:r>
        <w:t>Negative Marks: 0.33</w:t>
      </w:r>
    </w:p>
    <w:p>
      <w:r>
        <w:t>Question: Which vaccination schedule component is most critical in preventing tetanus in developing nations with high tetanus mortality?</w:t>
      </w:r>
    </w:p>
    <w:p>
      <w:r>
        <w:t>(a) Complete primary series (3 doses) in infancy with periodic boosters</w:t>
      </w:r>
    </w:p>
    <w:p>
      <w:r>
        <w:t>(b) Booster only after wound injury</w:t>
      </w:r>
    </w:p>
    <w:p>
      <w:r>
        <w:t>(c) Booster doses every 20 years for all adults</w:t>
      </w:r>
    </w:p>
    <w:p>
      <w:r>
        <w:t>(d) Single dose at school entry</w:t>
      </w:r>
    </w:p>
    <w:p>
      <w:r>
        <w:t>Answer: a</w:t>
      </w:r>
    </w:p>
    <w:p>
      <w:r>
        <w:t>Solution: The complete primary immunization series (3 doses of tetanus toxoid at 6, 10, and 14 weeks, with boosters at 18 months and pre-school) is most critical for preventing tetanus, especially in developing nations. This establishes protective antibody titers and immunological memory. Periodic boosters (every 10 years) maintain immunity. Delayed primary series or booster-only strategies leave significant portions of the population unprotected. In developing nations, maternal tetanus (from unsterile delivery) remains a major cause of neonatal tetanus, making complete primary vaccination in infancy and boosters in women of reproductive age crucial. INC guidelines emphasize DPT/Td vaccination coverage &gt;90% as key to tetanus elimination. Memory aid: 'Complete primary + timely boosters = complete protection'</w:t>
      </w:r>
    </w:p>
    <w:p>
      <w:r>
        <w:t>Positive Marks: 1</w:t>
      </w:r>
    </w:p>
    <w:p>
      <w:r>
        <w:t>Negative Marks: 0.33</w:t>
      </w:r>
    </w:p>
    <w:p>
      <w:r>
        <w:t>Question: A wound culture from a burn patient isolates a gram-negative rod producing green-colored pus. The organism is oxidase positive and produces a distinctive fluorescent green pigment under UV light. Which statement best explains the clinical significance of this pigment?</w:t>
      </w:r>
    </w:p>
    <w:p>
      <w:r>
        <w:t>(a) It stimulates neutrophil recruitment to the infection site</w:t>
      </w:r>
    </w:p>
    <w:p>
      <w:r>
        <w:t>(b) It provides protection against ultraviolet radiation</w:t>
      </w:r>
    </w:p>
    <w:p>
      <w:r>
        <w:t>(c) It inhibits the production of wound healing factors</w:t>
      </w:r>
    </w:p>
    <w:p>
      <w:r>
        <w:t>(d) It enhances iron acquisition in iron-limited environments</w:t>
      </w:r>
    </w:p>
    <w:p>
      <w:r>
        <w:t>Answer: d</w:t>
      </w:r>
    </w:p>
    <w:p>
      <w:r>
        <w:t>Solution: The green fluorescent pigment is pyoverdine, a siderophore produced by Pseudomonas aeruginosa that chelates iron from the environment, which is essential for bacterial survival in iron-limited infected wounds. Pyoverdine is not primarily a UV protectant. While P. aeruginosa produces various virulence factors, the pigment itself doesn't directly stimulate neutrophil recruitment; in fact, the organism employs immune evasion strategies. Pigment production doesn't inhibit wound healing factors. Memory aid: Pyoverdine = 'pyo' (pus) + 'verdine' (green) = green pigment that helps P. aeruginosa thrive in wounds by acquiring iron—this is why green pus is pathognomonic for P. aeruginosa infection.</w:t>
      </w:r>
    </w:p>
    <w:p>
      <w:r>
        <w:t>Positive Marks: 1</w:t>
      </w:r>
    </w:p>
    <w:p>
      <w:r>
        <w:t>Negative Marks: 0.33</w:t>
      </w:r>
    </w:p>
    <w:p>
      <w:r>
        <w:t>Question: Which serological test is primarily used to diagnose infectious mononucleosis caused by Epstein-Barr virus?</w:t>
      </w:r>
    </w:p>
    <w:p>
      <w:r>
        <w:t>(a) Widal test</w:t>
      </w:r>
    </w:p>
    <w:p>
      <w:r>
        <w:t>(b) Paul-Bunnell test and Monospot test (heterophile antibody detection)</w:t>
      </w:r>
    </w:p>
    <w:p>
      <w:r>
        <w:t>(c) Coombs test</w:t>
      </w:r>
    </w:p>
    <w:p>
      <w:r>
        <w:t>(d) VDRL/RPR test</w:t>
      </w:r>
    </w:p>
    <w:p>
      <w:r>
        <w:t>Answer: b</w:t>
      </w:r>
    </w:p>
    <w:p>
      <w:r>
        <w:t>Solution: The Paul-Bunnell test detects heterophile antibodies (cross-reacting with sheep RBC antigens) produced in EBV infection. The rapid version is the Monospot test, widely used for quick diagnosis. Widal is for typhoid, VDRL for syphilis, and Coombs for hemolytic anemia. These heterophile antibodies are specific for infectious mononucleosis. TRICK: Monospot = one spot diagnosis for Mono.</w:t>
      </w:r>
    </w:p>
    <w:p>
      <w:r>
        <w:t>Positive Marks: 1</w:t>
      </w:r>
    </w:p>
    <w:p>
      <w:r>
        <w:t>Negative Marks: 0.33</w:t>
      </w:r>
    </w:p>
    <w:p>
      <w:r>
        <w:t>Question: Which of the following is characteristic of visceral leishmaniasis (Kala-azar) caused by Leishmania donovani?</w:t>
      </w:r>
    </w:p>
    <w:p>
      <w:r>
        <w:t>(a) Fever, hepatosplenomegaly, anemia, thrombocytopenia, and lymphadenopathy</w:t>
      </w:r>
    </w:p>
    <w:p>
      <w:r>
        <w:t>(b) Painful subcutaneous nodules confined to face</w:t>
      </w:r>
    </w:p>
    <w:p>
      <w:r>
        <w:t>(c) Involvement of mucous membranes with progressive tissue destruction</w:t>
      </w:r>
    </w:p>
    <w:p>
      <w:r>
        <w:t>(d) Self-healing ulcer on exposed skin</w:t>
      </w:r>
    </w:p>
    <w:p>
      <w:r>
        <w:t>Answer: a</w:t>
      </w:r>
    </w:p>
    <w:p>
      <w:r>
        <w:t>Solution: Visceral leishmaniasis causes systemic infection with characteristic fever, marked hepatomegaly and splenomegaly, pancytopenia including anemia and thrombocytopenia, and generalized lymphadenopathy. Facial nodules occur in cutaneous form. Self-healing ulcers are cutaneous manifestation. Mucosal involvement characterizes L. braziliensis form. Kala-azar means 'black fever' reflecting patient's dark appearance.</w:t>
      </w:r>
    </w:p>
    <w:p>
      <w:r>
        <w:t>Positive Marks: 1</w:t>
      </w:r>
    </w:p>
    <w:p>
      <w:r>
        <w:t>Negative Marks: 0.33</w:t>
      </w:r>
    </w:p>
    <w:p>
      <w:r>
        <w:t>Question: Which clinical presentation is MOST characteristic of severe cholera?</w:t>
      </w:r>
    </w:p>
    <w:p>
      <w:r>
        <w:t>(a) Constipation followed by explosive diarrhea</w:t>
      </w:r>
    </w:p>
    <w:p>
      <w:r>
        <w:t>(b) Mucoid stools with tenesmus and rectal bleeding</w:t>
      </w:r>
    </w:p>
    <w:p>
      <w:r>
        <w:t>(c) Bloody diarrhea with fever and abdominal cramps</w:t>
      </w:r>
    </w:p>
    <w:p>
      <w:r>
        <w:t>(d) Profuse painless watery diarrhea with rapid dehydration</w:t>
      </w:r>
    </w:p>
    <w:p>
      <w:r>
        <w:t>Answer: d</w:t>
      </w:r>
    </w:p>
    <w:p>
      <w:r>
        <w:t>Solution: Cholera classically presents with profuse, painless, watery diarrhea (rice-water stool) leading to rapid, severe dehydration. Bloody diarrhea suggests dysentery (Shigella/Salmonella). Fever is typically absent in uncomplicated cholera. The absence of fever and blood, with massive fluid loss, differentiates cholera from other bacterial gastroenteritis. Loss of up to 1 liter per hour distinguishes it from other infectious diarrheas.</w:t>
      </w:r>
    </w:p>
    <w:p>
      <w:r>
        <w:t>Positive Marks: 1</w:t>
      </w:r>
    </w:p>
    <w:p>
      <w:r>
        <w:t>Negative Marks: 0.33</w:t>
      </w:r>
    </w:p>
    <w:p>
      <w:r>
        <w:t>Question: Which laboratory test is considered the GOLD STANDARD for diagnosing COVID-19 in the acute phase?</w:t>
      </w:r>
    </w:p>
    <w:p>
      <w:r>
        <w:t>(a) Clinical symptoms alone</w:t>
      </w:r>
    </w:p>
    <w:p>
      <w:r>
        <w:t>(b) Serum IgG antibody test</w:t>
      </w:r>
    </w:p>
    <w:p>
      <w:r>
        <w:t>(c) Chest X-ray findings</w:t>
      </w:r>
    </w:p>
    <w:p>
      <w:r>
        <w:t>(d) Reverse transcription-polymerase chain reaction (RT-PCR) from nasopharyngeal swab</w:t>
      </w:r>
    </w:p>
    <w:p>
      <w:r>
        <w:t>Answer: d</w:t>
      </w:r>
    </w:p>
    <w:p>
      <w:r>
        <w:t>Solution: RT-PCR from nasopharyngeal or oropharyngeal swabs is the gold standard for acute COVID-19 diagnosis with sensitivity of 95-98% and high specificity. IgG antibodies appear during convalescent phase indicating past infection, not acute disease. Chest X-ray has variable findings and lacks diagnostic specificity. Clinical diagnosis without confirmation can miss atypical presentations. Viral nucleic acid detection via RT-PCR remains the definitive diagnostic standard.</w:t>
      </w:r>
    </w:p>
    <w:p>
      <w:r>
        <w:t>Positive Marks: 1</w:t>
      </w:r>
    </w:p>
    <w:p>
      <w:r>
        <w:t>Negative Marks: 0.33</w:t>
      </w:r>
    </w:p>
    <w:p>
      <w:r>
        <w:t>Question: Hepatitis B vaccine is administered as part of a schedule. What is the standard number of doses and primary schedule in the IAP routine immunization program?</w:t>
      </w:r>
    </w:p>
    <w:p>
      <w:r>
        <w:t>(a) Single dose at 9 months</w:t>
      </w:r>
    </w:p>
    <w:p>
      <w:r>
        <w:t>(b) 2 doses at birth and 6 weeks</w:t>
      </w:r>
    </w:p>
    <w:p>
      <w:r>
        <w:t>(c) 4 doses given with DPT at multiple intervals</w:t>
      </w:r>
    </w:p>
    <w:p>
      <w:r>
        <w:t>(d) 3 doses at birth, 6 weeks, and 14 weeks</w:t>
      </w:r>
    </w:p>
    <w:p>
      <w:r>
        <w:t>Answer: d</w:t>
      </w:r>
    </w:p>
    <w:p>
      <w:r>
        <w:t>Solution: Hepatitis B vaccine is given in 3 primary doses: at birth (within 24 hours), at 6 weeks, and at 14 weeks (combined with DPT). This schedule provides optimal seroconversion in 95-99% of vaccinated infants. A booster may be given at 18 months. Option B misses the 14-week dose; Option C and D do not follow IAP recommendations for Hepatitis B protection.</w:t>
      </w:r>
    </w:p>
    <w:p>
      <w:r>
        <w:t>Positive Marks: 1</w:t>
      </w:r>
    </w:p>
    <w:p>
      <w:r>
        <w:t>Negative Marks: 0.33</w:t>
      </w:r>
    </w:p>
    <w:p>
      <w:r>
        <w:t>Question: Which mutation in Mycobacterium tuberculosis confers resistance to rifampicin, and why is this mutation clinically significant in TB treatment?</w:t>
      </w:r>
    </w:p>
    <w:p>
      <w:r>
        <w:t>(a) Mutation in pncA gene encoding pyrazinamidase; reduces pro-drug conversion</w:t>
      </w:r>
    </w:p>
    <w:p>
      <w:r>
        <w:t>(b) Mutation in inhA gene encoding enoyl-ACP reductase; reduces drug activation</w:t>
      </w:r>
    </w:p>
    <w:p>
      <w:r>
        <w:t>(c) Mutation in rpoB gene encoding RNA polymerase beta subunit; prevents binding of rifampicin</w:t>
      </w:r>
    </w:p>
    <w:p>
      <w:r>
        <w:t>(d) Mutation in gyrA gene encoding DNA gyrase; causes cross-resistance to fluoroquinolones</w:t>
      </w:r>
    </w:p>
    <w:p>
      <w:r>
        <w:t>Answer: c</w:t>
      </w:r>
    </w:p>
    <w:p>
      <w:r>
        <w:t>Solution: Rifampicin resistance develops through mutations in the rpoB gene, which encodes the beta subunit of bacterial RNA polymerase. These mutations prevent rifampicin binding and are responsible for &gt;95% of rifampicin-resistant TB cases. This is clinically significant because rifampicin resistance is a marker for multidrug-resistant TB (MDR-TB) in most cases, and rpoB mutations are used for rapid MDR-TB detection. inhA mutations cause isoniazid resistance. gyrA mutations cause fluoroquinolone resistance. KEY: 'RIF = rpoB; INH = katG/inhA; FQ = gyrA.'</w:t>
      </w:r>
    </w:p>
    <w:p>
      <w:r>
        <w:t>Positive Marks: 1</w:t>
      </w:r>
    </w:p>
    <w:p>
      <w:r>
        <w:t>Negative Marks: 0.33</w:t>
      </w:r>
    </w:p>
    <w:p>
      <w:r>
        <w:t>Question: The organism most commonly responsible for puerperal (postpartum) fever is:</w:t>
      </w:r>
    </w:p>
    <w:p>
      <w:r>
        <w:t>(a) Streptococcus pneumoniae</w:t>
      </w:r>
    </w:p>
    <w:p>
      <w:r>
        <w:t>(b) Streptococcus pyogenes</w:t>
      </w:r>
    </w:p>
    <w:p>
      <w:r>
        <w:t>(c) Streptococcus agalactiae</w:t>
      </w:r>
    </w:p>
    <w:p>
      <w:r>
        <w:t>(d) Staphylococcus aureus</w:t>
      </w:r>
    </w:p>
    <w:p>
      <w:r>
        <w:t>Answer: b</w:t>
      </w:r>
    </w:p>
    <w:p>
      <w:r>
        <w:t>Solution: S. pyogenes (Group A Strep) is historically the CLASSIC cause of puerperal sepsis and was a major cause of maternal mortality pre-antibiotic era. S. agalactiae (Group B Strep) causes neonatal disease but not puerperal fever. S. aureus causes mastitis. The spread occurs through contaminated instruments/hands during delivery. S. pyogenes remains significant in puerperal pathology.</w:t>
      </w:r>
    </w:p>
    <w:p>
      <w:r>
        <w:t>Positive Marks: 1</w:t>
      </w:r>
    </w:p>
    <w:p>
      <w:r>
        <w:t>Negative Marks: 0.33</w:t>
      </w:r>
    </w:p>
    <w:p>
      <w:r>
        <w:t>Question: A patient receiving fluoroquinolones for uncomplicated urinary tract infection subsequently develops Clostridioides difficile colitis. This complication illustrates:</w:t>
      </w:r>
    </w:p>
    <w:p>
      <w:r>
        <w:t>(a) Fluoroquinolone hypersensitivity reaction requiring immediate discontinuation</w:t>
      </w:r>
    </w:p>
    <w:p>
      <w:r>
        <w:t>(b) Acute antibiotic nephrotoxicity requiring dialysis support</w:t>
      </w:r>
    </w:p>
    <w:p>
      <w:r>
        <w:t>(c) Disruption of normal microbiota and opportunistic infection risk due to broad antibiotic spectrum</w:t>
      </w:r>
    </w:p>
    <w:p>
      <w:r>
        <w:t>(d) Direct fluoroquinolone-induced pseudomembranous colitis unrelated to dysbiosis</w:t>
      </w:r>
    </w:p>
    <w:p>
      <w:r>
        <w:t>Answer: c</w:t>
      </w:r>
    </w:p>
    <w:p>
      <w:r>
        <w:t>Solution: Fluoroquinolones, though effective for UTIs, have broad spectrum affecting normal flora. This dysbiosis predisposes to Clostridioides difficile overgrowth and colitis, a well-recognized adverse effect. Option a is hypersensitivity (different pathophysiology); c is renal toxicity (not typical for fluoroquinolones); d denies the critical role of dysbiosis. This highlights collateral damage of broad-spectrum therapy.</w:t>
      </w:r>
    </w:p>
    <w:p>
      <w:r>
        <w:t>Positive Marks: 1</w:t>
      </w:r>
    </w:p>
    <w:p>
      <w:r>
        <w:t>Negative Marks: 0.33</w:t>
      </w:r>
    </w:p>
    <w:p>
      <w:r>
        <w:t>Question: Which diagnostic test has the highest sensitivity for dengue during the first 5 days of illness?</w:t>
      </w:r>
    </w:p>
    <w:p>
      <w:r>
        <w:t>(a) NS1 antigen detection test</w:t>
      </w:r>
    </w:p>
    <w:p>
      <w:r>
        <w:t>(b) Dengue IgM ELISA</w:t>
      </w:r>
    </w:p>
    <w:p>
      <w:r>
        <w:t>(c) Virus culture</w:t>
      </w:r>
    </w:p>
    <w:p>
      <w:r>
        <w:t>(d) Dengue IgG ELISA</w:t>
      </w:r>
    </w:p>
    <w:p>
      <w:r>
        <w:t>Answer: a</w:t>
      </w:r>
    </w:p>
    <w:p>
      <w:r>
        <w:t>Solution: NS1 (non-structural protein 1) antigen detection is the gold standard during acute phase (first 5 days) because NS1 circulates during active viremia. IgM appears around day 4-5 with lower sensitivity early. IgG appears late and indicates past infection. Virus culture requires specialized laboratory facilities. NS1 testing enables rapid diagnosis essential for timely clinical management and outbreak control.</w:t>
      </w:r>
    </w:p>
    <w:p>
      <w:r>
        <w:t>Positive Marks: 1</w:t>
      </w:r>
    </w:p>
    <w:p>
      <w:r>
        <w:t>Negative Marks: 0.33</w:t>
      </w:r>
    </w:p>
    <w:p>
      <w:r>
        <w:t>Question: Latent syphilis is defined as:</w:t>
      </w:r>
    </w:p>
    <w:p>
      <w:r>
        <w:t>(a) Asymptomatic stage following secondary syphilis where serological tests remain positive</w:t>
      </w:r>
    </w:p>
    <w:p>
      <w:r>
        <w:t>(b) Presence of treponemes in active genital lesions without systemic symptoms</w:t>
      </w:r>
    </w:p>
    <w:p>
      <w:r>
        <w:t>(c) Chronic infection with persistently negative serological tests</w:t>
      </w:r>
    </w:p>
    <w:p>
      <w:r>
        <w:t>(d) Initial pre-symptomatic stage occurring before primary chancre development</w:t>
      </w:r>
    </w:p>
    <w:p>
      <w:r>
        <w:t>Answer: a</w:t>
      </w:r>
    </w:p>
    <w:p>
      <w:r>
        <w:t>Solution: Latent syphilis is the asymptomatic period after resolution of secondary syphilis where both RPR/VDRL and treponemal antibody tests remain positive; the patient is non-infectious except for congenital transmission. Early latent syphilis (&lt;1 year) and late latent syphilis (&gt;1 year) are distinguished by timeline. Option B represents active infection; option D is pre-symptomatic stage; option C is incorrect as tests are positive in latent syphilis. Classification memory: 'Latent = seropositive + asymptomatic.'</w:t>
      </w:r>
    </w:p>
    <w:p>
      <w:r>
        <w:t>Positive Marks: 1</w:t>
      </w:r>
    </w:p>
    <w:p>
      <w:r>
        <w:t>Negative Marks: 0.33</w:t>
      </w:r>
    </w:p>
    <w:p>
      <w:r>
        <w:t>Question: Which of the following is an example of a chemically defined (synthetic) medium with known exact chemical composition?</w:t>
      </w:r>
    </w:p>
    <w:p>
      <w:r>
        <w:t>(a) MacConkey agar</w:t>
      </w:r>
    </w:p>
    <w:p>
      <w:r>
        <w:t>(b) Blood agar</w:t>
      </w:r>
    </w:p>
    <w:p>
      <w:r>
        <w:t>(c) Minimal salt medium supplemented with glucose</w:t>
      </w:r>
    </w:p>
    <w:p>
      <w:r>
        <w:t>(d) Nutrient broth</w:t>
      </w:r>
    </w:p>
    <w:p>
      <w:r>
        <w:t>Answer: c</w:t>
      </w:r>
    </w:p>
    <w:p>
      <w:r>
        <w:t>Solution: A minimal salt medium with glucose is a defined/synthetic medium because every ingredient and its exact concentration is precisely known and standardized. Nutrient broth and blood agar contain peptone or beef extract (undefined composition), and MacConkey agar contains complex peptone ingredients. Defined media are valuable for research requiring precise nutrient control, while complex media are practical for clinical culture and routine bacterial isolation.</w:t>
      </w:r>
    </w:p>
    <w:p>
      <w:r>
        <w:t>Positive Marks: 1</w:t>
      </w:r>
    </w:p>
    <w:p>
      <w:r>
        <w:t>Negative Marks: 0.33</w:t>
      </w:r>
    </w:p>
    <w:p>
      <w:r>
        <w:t>Question: Which of the following is the enriched medium of choice for primary isolation of Haemophilus influenzae in the clinical laboratory?</w:t>
      </w:r>
    </w:p>
    <w:p>
      <w:r>
        <w:t>(a) MacConkey agar plate</w:t>
      </w:r>
    </w:p>
    <w:p>
      <w:r>
        <w:t>(b) Thayer-Martin medium</w:t>
      </w:r>
    </w:p>
    <w:p>
      <w:r>
        <w:t>(c) Chocolate agar plate supplemented with X and V factors</w:t>
      </w:r>
    </w:p>
    <w:p>
      <w:r>
        <w:t>(d) Blood agar plate alone</w:t>
      </w:r>
    </w:p>
    <w:p>
      <w:r>
        <w:t>Answer: c</w:t>
      </w:r>
    </w:p>
    <w:p>
      <w:r>
        <w:t>Solution: H. influenzae requires X (hemin) and V (NAD) growth factors, which are provided by chocolate agar (heated blood agar). Blood agar alone (option 'a') is insufficient. MacConkey agar (option 'c') is selective for gram-negative enteric bacteria, not Haemophilus. Thayer-Martin medium (option 'd') is selective for Neisseria species, not Haemophilus. Remember: X factor = hemin (from blood), V factor = NAD (pyridine nucleotide).</w:t>
      </w:r>
    </w:p>
    <w:p>
      <w:r>
        <w:t>Positive Marks: 1</w:t>
      </w:r>
    </w:p>
    <w:p>
      <w:r>
        <w:t>Negative Marks: 0.33</w:t>
      </w:r>
    </w:p>
    <w:p>
      <w:r>
        <w:t>Question: Bacteria arranged in a chain-like pattern are classified as:</w:t>
      </w:r>
    </w:p>
    <w:p>
      <w:r>
        <w:t>(a) Streptococci</w:t>
      </w:r>
    </w:p>
    <w:p>
      <w:r>
        <w:t>(b) Tetrads</w:t>
      </w:r>
    </w:p>
    <w:p>
      <w:r>
        <w:t>(c) Diplococci</w:t>
      </w:r>
    </w:p>
    <w:p>
      <w:r>
        <w:t>(d) Staphylococci</w:t>
      </w:r>
    </w:p>
    <w:p>
      <w:r>
        <w:t>Answer: a</w:t>
      </w:r>
    </w:p>
    <w:p>
      <w:r>
        <w:t>Solution: Streptococci refer to spherical bacteria (cocci) arranged in chains; the term derives from Greek 'strepto' meaning chain. Staphylococci form grape-like irregular clusters (staphyle = grape), diplococci are paired arrangements, and tetrads form groups of four. Examples of clinically important streptococci include Streptococcus pyogenes (Group A Strep) and Streptococcus agalactiae (Group B Strep). This morphological arrangement is easily observed on Gram stain and aids in presumptive identification.</w:t>
      </w:r>
    </w:p>
    <w:p>
      <w:r>
        <w:t>Positive Marks: 1</w:t>
      </w:r>
    </w:p>
    <w:p>
      <w:r>
        <w:t>Negative Marks: 0.33</w:t>
      </w:r>
    </w:p>
    <w:p>
      <w:r>
        <w:t>Question: Which statement about Salmonella typhi is correct regarding its epidemiology?</w:t>
      </w:r>
    </w:p>
    <w:p>
      <w:r>
        <w:t>(a) It is exclusively found in poultry and causes no systemic illness</w:t>
      </w:r>
    </w:p>
    <w:p>
      <w:r>
        <w:t>(b) It causes primarily foodborne gastroenteritis with self-limited diarrhea</w:t>
      </w:r>
    </w:p>
    <w:p>
      <w:r>
        <w:t>(c) It cannot survive in the biliary system and is easily eliminated by antibiotics</w:t>
      </w:r>
    </w:p>
    <w:p>
      <w:r>
        <w:t>(d) It causes enteric fever with bacteremia and can be transmitted by chronic carriers</w:t>
      </w:r>
    </w:p>
    <w:p>
      <w:r>
        <w:t>Answer: d</w:t>
      </w:r>
    </w:p>
    <w:p>
      <w:r>
        <w:t>Solution: S. typhi causes enteric fever (typhoid fever) with systemic manifestations including prolonged fever, bacteremia, and potential organ involvement. Chronic carriers, particularly with gallstone disease, shed S. typhi in feces and are crucial for transmission. Option b describes non-typhi Salmonella. Option a is incorrect as S. typhi affects humans primarily. Option c is wrong as S. typhi can form biofilms in the biliary system, leading to chronic carrier states. S. typhi is a human pathogen, not an animal pathogen like non-typhi strains.</w:t>
      </w:r>
    </w:p>
    <w:p>
      <w:r>
        <w:t>Positive Marks: 1</w:t>
      </w:r>
    </w:p>
    <w:p>
      <w:r>
        <w:t>Negative Marks: 0.33</w:t>
      </w:r>
    </w:p>
    <w:p>
      <w:r>
        <w:t>Question: Which form of poliomyelitis presents with systemic symptoms but without paralysis?</w:t>
      </w:r>
    </w:p>
    <w:p>
      <w:r>
        <w:t>(a) Paralytic poliomyelitis</w:t>
      </w:r>
    </w:p>
    <w:p>
      <w:r>
        <w:t>(b) Non-paralytic poliomyelitis</w:t>
      </w:r>
    </w:p>
    <w:p>
      <w:r>
        <w:t>(c) Abortive poliomyelitis</w:t>
      </w:r>
    </w:p>
    <w:p>
      <w:r>
        <w:t>(d) Bulbar poliomyelitis</w:t>
      </w:r>
    </w:p>
    <w:p>
      <w:r>
        <w:t>Answer: b</w:t>
      </w:r>
    </w:p>
    <w:p>
      <w:r>
        <w:t>Solution: Non-paralytic poliomyelitis presents with fever, headache, meningismus, and muscle pain but no paralysis, typically resolving completely. Paralytic poliomyelitis includes frank paralysis. Abortive poliomyelitis is the mildest form with minimal symptoms. Bulbar poliomyelitis is a severe form affecting cranial nerves. Memory aid: 'Non-paralytic = No Paralysis'.</w:t>
      </w:r>
    </w:p>
    <w:p>
      <w:r>
        <w:t>Positive Marks: 1</w:t>
      </w:r>
    </w:p>
    <w:p>
      <w:r>
        <w:t>Negative Marks: 0.33</w:t>
      </w:r>
    </w:p>
    <w:p>
      <w:r>
        <w:t>Question: Petri dishes in a culture room should be incubated in an inverted position primarily to:</w:t>
      </w:r>
    </w:p>
    <w:p>
      <w:r>
        <w:t>(a) Facilitate observation of colony morphology</w:t>
      </w:r>
    </w:p>
    <w:p>
      <w:r>
        <w:t>(b) Prevent condensation from dripping onto colonies</w:t>
      </w:r>
    </w:p>
    <w:p>
      <w:r>
        <w:t>(c) Ensure uniform temperature distribution</w:t>
      </w:r>
    </w:p>
    <w:p>
      <w:r>
        <w:t>(d) Allow proper aeration of the medium</w:t>
      </w:r>
    </w:p>
    <w:p>
      <w:r>
        <w:t>Answer: b</w:t>
      </w:r>
    </w:p>
    <w:p>
      <w:r>
        <w:t>Solution: Inverting plates (agar side up, lid side down) prevents condensation from the lid from dripping onto the agar surface, which would cause colonies to spread and merge, compromising isolation and identification. Option C (temperature) is unaffected by orientation. Option D (aeration) is not the primary reason—petri dishes are not sealed. Option A (observation) works in either position. Inverted incubation is a critical technique preventing contamination and ensuring clear, discrete colonies for identification and antimicrobial susceptibility testing.</w:t>
      </w:r>
    </w:p>
    <w:p>
      <w:r>
        <w:t>Positive Marks: 1</w:t>
      </w:r>
    </w:p>
    <w:p>
      <w:r>
        <w:t>Negative Marks: 0.33</w:t>
      </w:r>
    </w:p>
    <w:p>
      <w:r>
        <w:t>Question: A 45-year-old presents with sudden onset of diplopia, ptosis, dry mouth, constipation, and descending paralysis 36 hours after eating home-canned vegetables. Which toxin type is most likely responsible?</w:t>
      </w:r>
    </w:p>
    <w:p>
      <w:r>
        <w:t>(a) Botulinum toxin type F</w:t>
      </w:r>
    </w:p>
    <w:p>
      <w:r>
        <w:t>(b) Botulinum toxin type B</w:t>
      </w:r>
    </w:p>
    <w:p>
      <w:r>
        <w:t>(c) Botulinum toxin type E</w:t>
      </w:r>
    </w:p>
    <w:p>
      <w:r>
        <w:t>(d) Botulinum toxin type A</w:t>
      </w:r>
    </w:p>
    <w:p>
      <w:r>
        <w:t>Answer: d</w:t>
      </w:r>
    </w:p>
    <w:p>
      <w:r>
        <w:t>Solution: Botulinum toxin type A is the most common cause of foodborne botulism, accounting for &gt;50% of cases. Type B is second most common, type E is associated with seafood/aquatic environments, and type F is rarely found in food. Home-canned vegetables are classic sources for types A and B (anaerobic conditions). The 24-48 hour incubation is typical for foodborne botulism. The descending paralysis with autonomic symptoms (dry mouth, constipation) is pathognomonic. Cerebrospinal fluid examination is usually normal, differentiating from other causes.</w:t>
      </w:r>
    </w:p>
    <w:p>
      <w:r>
        <w:t>Positive Marks: 1</w:t>
      </w:r>
    </w:p>
    <w:p>
      <w:r>
        <w:t>Negative Marks: 0.33</w:t>
      </w:r>
    </w:p>
    <w:p>
      <w:r>
        <w:t>Question: A stock culture of Pseudomonas aeruginosa shows both green and white (non-pigmented) colonies. What is the most likely explanation?</w:t>
      </w:r>
    </w:p>
    <w:p>
      <w:r>
        <w:t>(a) Contamination with another organism</w:t>
      </w:r>
    </w:p>
    <w:p>
      <w:r>
        <w:t>(b) Selection of pigment-deficient mutants from the same species</w:t>
      </w:r>
    </w:p>
    <w:p>
      <w:r>
        <w:t>(c) Pigment degradation over time</w:t>
      </w:r>
    </w:p>
    <w:p>
      <w:r>
        <w:t>(d) Culture media pH change</w:t>
      </w:r>
    </w:p>
    <w:p>
      <w:r>
        <w:t>Answer: b</w:t>
      </w:r>
    </w:p>
    <w:p>
      <w:r>
        <w:t>Solution: Non-pigmented mutants of P. aeruginosa (white/pale colonies) arise from spontaneous mutations in genes required for pigment biosynthesis. Both pigmented and non-pigmented variants are from the same species and represent intraspecific variation. This phenotypic heterogeneity is well-documented during stock culture maintenance and chronic infections. The non-pigmented mutants have lost pyoverdine/pyocyanin production genes but remain viable P. aeruginosa.</w:t>
      </w:r>
    </w:p>
    <w:p>
      <w:r>
        <w:t>Positive Marks: 1</w:t>
      </w:r>
    </w:p>
    <w:p>
      <w:r>
        <w:t>Negative Marks: 0.33</w:t>
      </w:r>
    </w:p>
    <w:p>
      <w:r>
        <w:t>Question: Which of the following is an agglutination test commonly used for diagnosis of typhoid fever?</w:t>
      </w:r>
    </w:p>
    <w:p>
      <w:r>
        <w:t>(a) Widal test</w:t>
      </w:r>
    </w:p>
    <w:p>
      <w:r>
        <w:t>(b) Coombs test</w:t>
      </w:r>
    </w:p>
    <w:p>
      <w:r>
        <w:t>(c) VDRL test</w:t>
      </w:r>
    </w:p>
    <w:p>
      <w:r>
        <w:t>(d) Paul-Bunnell test</w:t>
      </w:r>
    </w:p>
    <w:p>
      <w:r>
        <w:t>Answer: a</w:t>
      </w:r>
    </w:p>
    <w:p>
      <w:r>
        <w:t>Solution: The Widal test detects agglutinating antibodies against Salmonella typhi and S. paratyphi through tube or slide agglutination. VDRL is used for syphilis diagnosis. Paul-Bunnell test is for infectious mononucleosis. Coombs test is for hemolytic disease. The Widal test uses O and H antigens of Salmonella species. NOTE: Widal positivity must be interpreted with clinical context as false positives can occur.</w:t>
      </w:r>
    </w:p>
    <w:p>
      <w:r>
        <w:t>Positive Marks: 1</w:t>
      </w:r>
    </w:p>
    <w:p>
      <w:r>
        <w:t>Negative Marks: 0.33</w:t>
      </w:r>
    </w:p>
    <w:p>
      <w:r>
        <w:t>Question: The incubation period for lymphatic filariasis (from mosquito bite to appearance of microfilariae in blood) is typically:</w:t>
      </w:r>
    </w:p>
    <w:p>
      <w:r>
        <w:t>(a) 18-24 months</w:t>
      </w:r>
    </w:p>
    <w:p>
      <w:r>
        <w:t>(b) 6-12 months</w:t>
      </w:r>
    </w:p>
    <w:p>
      <w:r>
        <w:t>(c) 3-4 years</w:t>
      </w:r>
    </w:p>
    <w:p>
      <w:r>
        <w:t>(d) 2-3 months</w:t>
      </w:r>
    </w:p>
    <w:p>
      <w:r>
        <w:t>Answer: b</w:t>
      </w:r>
    </w:p>
    <w:p>
      <w:r>
        <w:t>Solution: The intrinsic incubation period for lymphatic filariasis is 6-12 months during which larvae mature into adult worms in lymph nodes before microfilariae production. Two to three months is too short for larval maturation and reproduction. Eighteen to twenty-four months and three to four years are excessively long estimates. This 6-12 month window determines when diagnostic tests become positive.</w:t>
      </w:r>
    </w:p>
    <w:p>
      <w:r>
        <w:t>Positive Marks: 1</w:t>
      </w:r>
    </w:p>
    <w:p>
      <w:r>
        <w:t>Negative Marks: 0.33</w:t>
      </w:r>
    </w:p>
    <w:p>
      <w:r>
        <w:t>Question: Which virulence factor of Vibrio cholerae is MOST responsible for bacterial adherence to intestinal enterocytes?</w:t>
      </w:r>
    </w:p>
    <w:p>
      <w:r>
        <w:t>(a) Lipopolysaccharide (LPS) O antigen, which activates host inflammatory response</w:t>
      </w:r>
    </w:p>
    <w:p>
      <w:r>
        <w:t>(b) Cholera enterotoxin (CTX), which mediates initial attachment to epithelium</w:t>
      </w:r>
    </w:p>
    <w:p>
      <w:r>
        <w:t>(c) Lateral flagella, which facilitate mucosal penetration and invasion</w:t>
      </w:r>
    </w:p>
    <w:p>
      <w:r>
        <w:t>(d) Toxin co-regulated pili (TCP), which serve as primary adhesins</w:t>
      </w:r>
    </w:p>
    <w:p>
      <w:r>
        <w:t>Answer: d</w:t>
      </w:r>
    </w:p>
    <w:p>
      <w:r>
        <w:t>Solution: Toxin co-regulated pili (TCP), encoded by virulence genes regulated by the ToxR-ToxS regulatory system, mediate bacterial adherence to intestinal epithelium—the critical first step of pathogenesis. CTX causes the actual diarrhea but doesn't mediate attachment. LPS and flagella support motility and virulence but are not primary adhesion factors. TCP expression is tightly regulated and increases in vivo. TCP antibodies provide protective immunity, making it a potential vaccine candidate and key virulence factor in cholera pathogenesis.</w:t>
      </w:r>
    </w:p>
    <w:p>
      <w:r>
        <w:t>Positive Marks: 1</w:t>
      </w:r>
    </w:p>
    <w:p>
      <w:r>
        <w:t>Negative Marks: 0.33</w:t>
      </w:r>
    </w:p>
    <w:p>
      <w:r>
        <w:t>Question: What is the minimum interval between two doses of DPT vaccine as per IAP recommendations?</w:t>
      </w:r>
    </w:p>
    <w:p>
      <w:r>
        <w:t>(a) 2 weeks</w:t>
      </w:r>
    </w:p>
    <w:p>
      <w:r>
        <w:t>(b) 6 weeks</w:t>
      </w:r>
    </w:p>
    <w:p>
      <w:r>
        <w:t>(c) 4 weeks</w:t>
      </w:r>
    </w:p>
    <w:p>
      <w:r>
        <w:t>(d) 8 weeks</w:t>
      </w:r>
    </w:p>
    <w:p>
      <w:r>
        <w:t>Answer: c</w:t>
      </w:r>
    </w:p>
    <w:p>
      <w:r>
        <w:t>Solution: The minimum interval between DPT doses is 4 weeks according to IAP guidelines. While 6 weeks is the standard interval in routine practice, if doses are given closer than 4 weeks apart due to operational reasons, they may still be considered valid. However, 4 weeks is the minimum accepted interval for immunization schedules.</w:t>
      </w:r>
    </w:p>
    <w:p>
      <w:r>
        <w:t>Positive Marks: 1</w:t>
      </w:r>
    </w:p>
    <w:p>
      <w:r>
        <w:t>Negative Marks: 0.33</w:t>
      </w:r>
    </w:p>
    <w:p>
      <w:r>
        <w:t>Question: A patient with miliary tuberculosis presents with acute dyspnea and bilateral infiltrates on chest X-ray. This clinical presentation results from which pathological process?</w:t>
      </w:r>
    </w:p>
    <w:p>
      <w:r>
        <w:t>(a) Pleural effusion with pneumothorax</w:t>
      </w:r>
    </w:p>
    <w:p>
      <w:r>
        <w:t>(b) Hematogenous dissemination of TB bacilli throughout lungs</w:t>
      </w:r>
    </w:p>
    <w:p>
      <w:r>
        <w:t>(c) Bronchial stenosis with atelectasis</w:t>
      </w:r>
    </w:p>
    <w:p>
      <w:r>
        <w:t>(d) Cavitation with airway obstruction</w:t>
      </w:r>
    </w:p>
    <w:p>
      <w:r>
        <w:t>Answer: b</w:t>
      </w:r>
    </w:p>
    <w:p>
      <w:r>
        <w:t>Solution: Miliary TB results from hematogenous (blood-borne) dissemination of M. tuberculosis throughout the lungs, creating characteristic 1-2mm millet seed-like opacities on chest X-ray. This occurs during initial TB bacteremia or reactivation of a caseous focus into a blood vessel. Cavitation is localized. Pleural effusion and bronchial stenosis present differently. MNEMONIC: 'Miliary TB = Millet seeds throughout lungs = Hematogenous spread.'</w:t>
      </w:r>
    </w:p>
    <w:p>
      <w:r>
        <w:t>Positive Marks: 1</w:t>
      </w:r>
    </w:p>
    <w:p>
      <w:r>
        <w:t>Negative Marks: 0.33</w:t>
      </w:r>
    </w:p>
    <w:p>
      <w:r>
        <w:t>Question: Beta-hemolytic Streptococcus on sheep blood agar characteristically shows:</w:t>
      </w:r>
    </w:p>
    <w:p>
      <w:r>
        <w:t>(a) Complete clear zones with RBC destruction</w:t>
      </w:r>
    </w:p>
    <w:p>
      <w:r>
        <w:t>(b) No hemolysis with unchanged agar</w:t>
      </w:r>
    </w:p>
    <w:p>
      <w:r>
        <w:t>(c) Green discoloration around colonies</w:t>
      </w:r>
    </w:p>
    <w:p>
      <w:r>
        <w:t>(d) Brown-black pigmented zones</w:t>
      </w:r>
    </w:p>
    <w:p>
      <w:r>
        <w:t>Answer: a</w:t>
      </w:r>
    </w:p>
    <w:p>
      <w:r>
        <w:t>Solution: Beta-hemolysis causes complete lysis of RBCs, creating clear transparent zones around colonies. Alpha-hemolysis produces green discoloration (partial hemolysis). Gamma-hemolysis shows no change. S. pyogenes (Group A Strep) is classically beta-hemolytic on sheep blood agar. This is a fundamental bacteriology principle for identifying pathogenic streptococci.</w:t>
      </w:r>
    </w:p>
    <w:p>
      <w:r>
        <w:t>Positive Marks: 1</w:t>
      </w:r>
    </w:p>
    <w:p>
      <w:r>
        <w:t>Negative Marks: 0.33</w:t>
      </w:r>
    </w:p>
    <w:p>
      <w:r>
        <w:t>Question: Congenital syphilis is preventable when maternal syphilis is treated with adequate penicillin therapy:</w:t>
      </w:r>
    </w:p>
    <w:p>
      <w:r>
        <w:t>(a) Before the third trimester only</w:t>
      </w:r>
    </w:p>
    <w:p>
      <w:r>
        <w:t>(b) Before the second trimester only</w:t>
      </w:r>
    </w:p>
    <w:p>
      <w:r>
        <w:t>(c) Only after delivery to prevent transmission</w:t>
      </w:r>
    </w:p>
    <w:p>
      <w:r>
        <w:t>(d) Anytime during pregnancy</w:t>
      </w:r>
    </w:p>
    <w:p>
      <w:r>
        <w:t>Answer: d</w:t>
      </w:r>
    </w:p>
    <w:p>
      <w:r>
        <w:t>Solution: Treponema pallidum readily crosses the placental barrier throughout all stages of pregnancy; adequate penicillin therapy is effective in preventing congenital transmission if initiated anytime during pregnancy with good compliance. Treatment is most effective when begun early but provides fetal benefit at any stage. Option C is incorrect as the fetus would already be infected by delivery. Options A and B are too restrictive. Clinical imperative: 'Maternal penicillin therapy at ANY trimester prevents congenital syphilis transmission.'</w:t>
      </w:r>
    </w:p>
    <w:p>
      <w:r>
        <w:t>Positive Marks: 1</w:t>
      </w:r>
    </w:p>
    <w:p>
      <w:r>
        <w:t>Negative Marks: 0.33</w:t>
      </w:r>
    </w:p>
    <w:p>
      <w:r>
        <w:t>Question: A 5-year-old previously vaccinated child develops disseminated meningococcal infection with fever, petechial rash, and bacteremia despite receiving meningococcal conjugate vaccine 2 years ago. Which serogroup would you specifically investigate if the initial conjugate vaccine was MCV-4 (covering groups A, C, W-135, Y)?</w:t>
      </w:r>
    </w:p>
    <w:p>
      <w:r>
        <w:t>(a) Serogroup A (limited vaccine coverage)</w:t>
      </w:r>
    </w:p>
    <w:p>
      <w:r>
        <w:t>(b) Serogroup C (vaccine failure or non-response)</w:t>
      </w:r>
    </w:p>
    <w:p>
      <w:r>
        <w:t>(c) Serogroup B (not included in MCV-4, requires separate MenB vaccine)</w:t>
      </w:r>
    </w:p>
    <w:p>
      <w:r>
        <w:t>(d) Serogroup Y (primary vaccine antigen)</w:t>
      </w:r>
    </w:p>
    <w:p>
      <w:r>
        <w:t>Answer: c</w:t>
      </w:r>
    </w:p>
    <w:p>
      <w:r>
        <w:t>Solution: Serogroup B is not included in the 4-valent meningococcal conjugate vaccine (MCV-4, Menactra, Menveo) and requires separate MenB vaccination (Bexsero, Nessevac). If a previously MCV-4 vaccinated child develops invasive disease, serogroup B is the most likely cause. Option 'a' is covered by MCV-4. Option 'c' suggests vaccine failure to group C. Option 'd' is covered by MCV-4. The gap in MCV-4 coverage for serogroup B necessitates additional MenB vaccination, particularly in high-risk populations.</w:t>
      </w:r>
    </w:p>
    <w:p>
      <w:r>
        <w:t>Positive Marks: 1</w:t>
      </w:r>
    </w:p>
    <w:p>
      <w:r>
        <w:t>Negative Marks: 0.33</w:t>
      </w:r>
    </w:p>
    <w:p>
      <w:r>
        <w:t>Question: E. coli is catalase-positive and oxidase-negative. Which other characteristic distinguishes it from Salmonella?</w:t>
      </w:r>
    </w:p>
    <w:p>
      <w:r>
        <w:t>(a) E. coli ferments lactose; most Salmonella do not</w:t>
      </w:r>
    </w:p>
    <w:p>
      <w:r>
        <w:t>(b) E. coli produces urease; Salmonella do not</w:t>
      </w:r>
    </w:p>
    <w:p>
      <w:r>
        <w:t>(c) E. coli is gram-positive; Salmonella are gram-negative</w:t>
      </w:r>
    </w:p>
    <w:p>
      <w:r>
        <w:t>(d) E. coli is motile; Salmonella are non-motile</w:t>
      </w:r>
    </w:p>
    <w:p>
      <w:r>
        <w:t>Answer: a</w:t>
      </w:r>
    </w:p>
    <w:p>
      <w:r>
        <w:t>Solution: E. coli ferments lactose (typically within 24 hours), while most Salmonella do not ferment lactose. This is a classic differential feature used in laboratory identification. Option d is wrong because both are motile (though some Salmonella are non-motile). Option b is incorrect as neither typically produces urease. Option c is wrong as both are gram-negative. Lactose fermentation status is crucial for identifying enterobacteria on selective media.</w:t>
      </w:r>
    </w:p>
    <w:p>
      <w:r>
        <w:t>Positive Marks: 1</w:t>
      </w:r>
    </w:p>
    <w:p>
      <w:r>
        <w:t>Negative Marks: 0.33</w:t>
      </w:r>
    </w:p>
    <w:p>
      <w:r>
        <w:t>Question: The characteristic motor paralysis in poliomyelitis is:</w:t>
      </w:r>
    </w:p>
    <w:p>
      <w:r>
        <w:t>(a) Mixed paralysis</w:t>
      </w:r>
    </w:p>
    <w:p>
      <w:r>
        <w:t>(b) Flaccid paralysis</w:t>
      </w:r>
    </w:p>
    <w:p>
      <w:r>
        <w:t>(c) Spastic paralysis</w:t>
      </w:r>
    </w:p>
    <w:p>
      <w:r>
        <w:t>(d) Tremor</w:t>
      </w:r>
    </w:p>
    <w:p>
      <w:r>
        <w:t>Answer: b</w:t>
      </w:r>
    </w:p>
    <w:p>
      <w:r>
        <w:t>Solution: Poliovirus causes flaccid paralysis due to destruction of anterior horn cells (lower motor neurons), leading to loss of muscle tone and strength. Spastic paralysis occurs with upper motor neuron lesions. Mixed paralysis and tremor are not characteristic features of poliomyelitis. The flaccidity results from the virus's selective tropism for motor neurons.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