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Paralytic or 'dumb' rabies is characterized by?</w:t>
      </w:r>
    </w:p>
    <w:p>
      <w:r>
        <w:t>(a) Violent behavior and hydrophobia</w:t>
      </w:r>
    </w:p>
    <w:p>
      <w:r>
        <w:t>(b) Ascending paralysis starting from the site of bite</w:t>
      </w:r>
    </w:p>
    <w:p>
      <w:r>
        <w:t>(c) Rapid deterioration within 24 hours</w:t>
      </w:r>
    </w:p>
    <w:p>
      <w:r>
        <w:t>(d) Constant hallucinations and delusions</w:t>
      </w:r>
    </w:p>
    <w:p>
      <w:r>
        <w:t>Answer: b</w:t>
      </w:r>
    </w:p>
    <w:p>
      <w:r>
        <w:t>Solution: Paralytic rabies (20% of cases) presents with ascending paralysis, typically beginning from the bitten extremity. Early features include weakness, numbness, and tingling at the bite site, progressing to flaccid paralysis. Unlike furious rabies, there is no aggression or hydrophobia. The patient remains relatively calm but develops paralysis leading to respiratory failure. This form may be confused with Guillain-Barré syndrome. The ascending pattern from bite site is diagnostically significant.</w:t>
      </w:r>
    </w:p>
    <w:p>
      <w:r>
        <w:t>Positive Marks: 1</w:t>
      </w:r>
    </w:p>
    <w:p>
      <w:r>
        <w:t>Negative Marks: 0.33</w:t>
      </w:r>
    </w:p>
    <w:p>
      <w:r>
        <w:t>Question: Oral cholera vaccine (OCV) is currently recommended for:</w:t>
      </w:r>
    </w:p>
    <w:p>
      <w:r>
        <w:t>(a) Travelers to cholera-endemic/epidemic areas and high-risk populations</w:t>
      </w:r>
    </w:p>
    <w:p>
      <w:r>
        <w:t>(b) Only laboratory personnel and healthcare workers handling patients</w:t>
      </w:r>
    </w:p>
    <w:p>
      <w:r>
        <w:t>(c) All residents of cholera-endemic countries regardless of risk status</w:t>
      </w:r>
    </w:p>
    <w:p>
      <w:r>
        <w:t>(d) Pregnant women and severely immunocompromised persons</w:t>
      </w:r>
    </w:p>
    <w:p>
      <w:r>
        <w:t>Answer: a</w:t>
      </w:r>
    </w:p>
    <w:p>
      <w:r>
        <w:t>Solution: WHO recommends OCV for travelers, refugee populations, and high-risk groups in endemic areas. It's not recommended for all people (cost-benefit analysis). Vaccination is contraindicated in pregnant women and severely immunocompromised individuals. Vaccination should be combined with water, sanitation, and hygiene measures for maximum effect. OCV provides 60-86% protection for 2-3 years; requires two doses spaced 1-6 weeks apart, with IgA-mediated mucosal immunity being the protective mechanism.</w:t>
      </w:r>
    </w:p>
    <w:p>
      <w:r>
        <w:t>Positive Marks: 1</w:t>
      </w:r>
    </w:p>
    <w:p>
      <w:r>
        <w:t>Negative Marks: 0.33</w:t>
      </w:r>
    </w:p>
    <w:p>
      <w:r>
        <w:t>Question: Antigenic variation in pathogens, such as influenza virus antigenic drift, is achieved primarily through:</w:t>
      </w:r>
    </w:p>
    <w:p>
      <w:r>
        <w:t>(a) Increased production of IgM antibodies by host immune system</w:t>
      </w:r>
    </w:p>
    <w:p>
      <w:r>
        <w:t>(b) Point mutations in genes encoding surface antigens allowing immune evasion from previous antibodies</w:t>
      </w:r>
    </w:p>
    <w:p>
      <w:r>
        <w:t>(c) Deliberate rearrangement of DNA sequences by pathogen enzymes</w:t>
      </w:r>
    </w:p>
    <w:p>
      <w:r>
        <w:t>(d) Constant removal of B cells producing antibodies against mutated antigens</w:t>
      </w:r>
    </w:p>
    <w:p>
      <w:r>
        <w:t>Answer: b</w:t>
      </w:r>
    </w:p>
    <w:p>
      <w:r>
        <w:t>Solution: Antigenic drift involves spontaneous point mutations in surface antigen-encoding genes (especially hemagglutinin and neuraminidase in influenza), producing structurally different antigens that escape previously formed antibodies, enabling reinfection. Option d describes immune suppression, not pathogen strategy. Option a is host response, not pathogen mechanism. Option c is incorrect; pathogens don't 'deliberately' rearrange DNA in this way. Clinical: Why influenza vaccine needs annual updates.</w:t>
      </w:r>
    </w:p>
    <w:p>
      <w:r>
        <w:t>Positive Marks: 1</w:t>
      </w:r>
    </w:p>
    <w:p>
      <w:r>
        <w:t>Negative Marks: 0.33</w:t>
      </w:r>
    </w:p>
    <w:p>
      <w:r>
        <w:t>Question: A child develops encephalitis 10 days after receiving MMR vaccine. How should this complication be differentiated from vaccine-strain measles encephalitis versus post-vaccinal immune-mediated encephalitis?</w:t>
      </w:r>
    </w:p>
    <w:p>
      <w:r>
        <w:t>(a) All encephalitis after MMR is vaccine-strain virus</w:t>
      </w:r>
    </w:p>
    <w:p>
      <w:r>
        <w:t>(b) Lumbar puncture is contraindicated in post-vaccinal cases</w:t>
      </w:r>
    </w:p>
    <w:p>
      <w:r>
        <w:t>(c) Timing and CSF PCR characteristics help differentiate them</w:t>
      </w:r>
    </w:p>
    <w:p>
      <w:r>
        <w:t>(d) Clinical presentation is identical regardless of cause</w:t>
      </w:r>
    </w:p>
    <w:p>
      <w:r>
        <w:t>Answer: c</w:t>
      </w:r>
    </w:p>
    <w:p>
      <w:r>
        <w:t>Solution: Post-vaccinal encephalitis and vaccine-strain measles encephalitis can be differentiated by timing and laboratory findings. Vaccine-strain encephalitis occurs earlier (typically 5-12 days post-vaccine) with detectable vaccine virus in CSF by PCR. Post-vaccinal immune-mediated encephalitis occurs later (10-14 days or more) with normal CSF viral PCR but evidence of immune activation (elevated IgG in CSF, oligoclonal bands). Vaccine-strain encephalitis is extremely rare (1 case per million vaccine doses with Jeryl Lynn strain). Clinical differentiation is difficult, requiring CSF analysis including viral PCR and immunologic markers. Nursing practice requires understanding these distinctions for accurate adverse event reporting and family counseling, particularly in vaccine safety monitoring activities. Both conditions require supportive care and ICU management.</w:t>
      </w:r>
    </w:p>
    <w:p>
      <w:r>
        <w:t>Positive Marks: 1</w:t>
      </w:r>
    </w:p>
    <w:p>
      <w:r>
        <w:t>Negative Marks: 0.33</w:t>
      </w:r>
    </w:p>
    <w:p>
      <w:r>
        <w:t>Question: Onchocerca volvulus-infected blackflies (Simulium species) breed in which type of water environment?</w:t>
      </w:r>
    </w:p>
    <w:p>
      <w:r>
        <w:t>(a) Brackish water in coastal areas</w:t>
      </w:r>
    </w:p>
    <w:p>
      <w:r>
        <w:t>(b) Stagnant water in marshes and swamps</w:t>
      </w:r>
    </w:p>
    <w:p>
      <w:r>
        <w:t>(c) Still water in artificial containers</w:t>
      </w:r>
    </w:p>
    <w:p>
      <w:r>
        <w:t>(d) Fast-flowing rivers and streams with high oxygen content</w:t>
      </w:r>
    </w:p>
    <w:p>
      <w:r>
        <w:t>Answer: d</w:t>
      </w:r>
    </w:p>
    <w:p>
      <w:r>
        <w:t>Solution: Simulium species breed specifically in fast-flowing, highly oxygenated water of rivers and streams, hence the disease is called river blindness. Stagnant marshes are habitats for Culex mosquitoes. Brackish coastal water supports saltwater breeding vectors. Artificial containers harbor Aedes species. Understanding specific breeding habitats is essential for vector control strategies.</w:t>
      </w:r>
    </w:p>
    <w:p>
      <w:r>
        <w:t>Positive Marks: 1</w:t>
      </w:r>
    </w:p>
    <w:p>
      <w:r>
        <w:t>Negative Marks: 0.33</w:t>
      </w:r>
    </w:p>
    <w:p>
      <w:r>
        <w:t>Question: According to current WHO and INC treatment guidelines (2024), antiretroviral therapy (ART) should be initiated in all HIV-positive individuals at which CD4 count threshold?</w:t>
      </w:r>
    </w:p>
    <w:p>
      <w:r>
        <w:t>(a) When CD4 count falls below 500 cells/mm³</w:t>
      </w:r>
    </w:p>
    <w:p>
      <w:r>
        <w:t>(b) When CD4 count falls below 200 cells/mm³</w:t>
      </w:r>
    </w:p>
    <w:p>
      <w:r>
        <w:t>(c) When CD4 count falls below 350 cells/mm³</w:t>
      </w:r>
    </w:p>
    <w:p>
      <w:r>
        <w:t>(d) Regardless of CD4 count at any stage ('Start ART for all')</w:t>
      </w:r>
    </w:p>
    <w:p>
      <w:r>
        <w:t>Answer: d</w:t>
      </w:r>
    </w:p>
    <w:p>
      <w:r>
        <w:t>Solution: Current evidence-based guidelines recommend immediate ART initiation ('Start ART for all') regardless of CD4+ count or clinical stage to achieve viral suppression and prevent HIV transmission (U=U principle: undetectable equals untransmittable). This represents a paradigm shift from earlier CD4-based thresholds (previously &lt;350 or &lt;500). Early ART initiation improves virological outcomes, reduces cardiovascular disease, prevents opportunistic infections, and dramatically reduces onward transmission. CD4 count, however, remains important for assessing baseline immunosuppression, determining OI prophylaxis requirements, and managing treatment complications. The principle of 'treat all' has become standard across WHO, INC, and all major international guidelines, fundamentally changing HIV care from reactive to preventive strategy.</w:t>
      </w:r>
    </w:p>
    <w:p>
      <w:r>
        <w:t>Positive Marks: 1</w:t>
      </w:r>
    </w:p>
    <w:p>
      <w:r>
        <w:t>Negative Marks: 0.33</w:t>
      </w:r>
    </w:p>
    <w:p>
      <w:r>
        <w:t>Question: A virus containing positive-sense, single-stranded RNA genome that can be directly translated into protein without prior enzyme-catalyzed modifications would be classified under which Baltimore group?</w:t>
      </w:r>
    </w:p>
    <w:p>
      <w:r>
        <w:t>(a) Group IV (positive-sense, single-stranded RNA viruses)</w:t>
      </w:r>
    </w:p>
    <w:p>
      <w:r>
        <w:t>(b) Group VI (reverse-transcribing RNA viruses)</w:t>
      </w:r>
    </w:p>
    <w:p>
      <w:r>
        <w:t>(c) Group III (double-stranded RNA viruses)</w:t>
      </w:r>
    </w:p>
    <w:p>
      <w:r>
        <w:t>(d) Group I (double-stranded DNA viruses)</w:t>
      </w:r>
    </w:p>
    <w:p>
      <w:r>
        <w:t>Answer: a</w:t>
      </w:r>
    </w:p>
    <w:p>
      <w:r>
        <w:t>Solution: Baltimore Group IV encompasses positive-sense, single-stranded RNA viruses whose genomes function directly as mRNA—they can be immediately translated by host ribosomes without requiring RNA-dependent RNA polymerase to generate mRNA first. This is unique to Group IV viruses like poliovirus and hepatitis C virus. Groups I/III contain DNA/dsRNA (non-translatable); Group VI requires reverse transcriptase. Mnemonic: Group IV = '+sense RNA' = Ready as-is to be read/translated.</w:t>
      </w:r>
    </w:p>
    <w:p>
      <w:r>
        <w:t>Positive Marks: 1</w:t>
      </w:r>
    </w:p>
    <w:p>
      <w:r>
        <w:t>Negative Marks: 0.33</w:t>
      </w:r>
    </w:p>
    <w:p>
      <w:r>
        <w:t>Question: The incubation period for leptospirosis (Weil's disease) is typically:</w:t>
      </w:r>
    </w:p>
    <w:p>
      <w:r>
        <w:t>(a) 5 to 14 days</w:t>
      </w:r>
    </w:p>
    <w:p>
      <w:r>
        <w:t>(b) 2 to 3 months</w:t>
      </w:r>
    </w:p>
    <w:p>
      <w:r>
        <w:t>(c) 21 to 30 days</w:t>
      </w:r>
    </w:p>
    <w:p>
      <w:r>
        <w:t>(d) 1 to 3 days</w:t>
      </w:r>
    </w:p>
    <w:p>
      <w:r>
        <w:t>Answer: a</w:t>
      </w:r>
    </w:p>
    <w:p>
      <w:r>
        <w:t>Solution: Leptospira interrogans has an incubation period of 5-14 days (average 7-10 days) before clinical symptoms appear. The leptospiremic phase (organisms in blood and CSF) occurs during the first week, followed by an immune phase when antibodies appear and organisms localize in kidneys/urine. Option D (1-3 days) is too short; options C and D are excessively prolonged. Clinical timing: 'Leptospirosis incubation = approximately 1-2 weeks before symptom onset.'</w:t>
      </w:r>
    </w:p>
    <w:p>
      <w:r>
        <w:t>Positive Marks: 1</w:t>
      </w:r>
    </w:p>
    <w:p>
      <w:r>
        <w:t>Negative Marks: 0.33</w:t>
      </w:r>
    </w:p>
    <w:p>
      <w:r>
        <w:t>Question: Which dermatophyte is MOST commonly associated with chronic, minimally inflammatory 'dry' type infections?</w:t>
      </w:r>
    </w:p>
    <w:p>
      <w:r>
        <w:t>(a) Trichophyton mentagrophytes</w:t>
      </w:r>
    </w:p>
    <w:p>
      <w:r>
        <w:t>(b) Trichophyton rubrum</w:t>
      </w:r>
    </w:p>
    <w:p>
      <w:r>
        <w:t>(c) Epidermophyton floccosum</w:t>
      </w:r>
    </w:p>
    <w:p>
      <w:r>
        <w:t>(d) Microsporum canis</w:t>
      </w:r>
    </w:p>
    <w:p>
      <w:r>
        <w:t>Answer: b</w:t>
      </w:r>
    </w:p>
    <w:p>
      <w:r>
        <w:t>Solution: Trichophyton rubrum is highly anthropophilic and causes chronic, persistent, minimally inflammatory infections with dry scaling and erythema. It has a poor host response and is difficult to treat due to poor immunologic reactivity. Option a (T. mentagrophytes) causes acute inflammatory lesions. Option d (M. canis) is zoophilic causing acute reactions. Option c (E. floccosum) also causes acute presentations. Trick: 'Rubrum' = mild inflammation; 'Mentagrophytes' = much inflammation.</w:t>
      </w:r>
    </w:p>
    <w:p>
      <w:r>
        <w:t>Positive Marks: 1</w:t>
      </w:r>
    </w:p>
    <w:p>
      <w:r>
        <w:t>Negative Marks: 0.33</w:t>
      </w:r>
    </w:p>
    <w:p>
      <w:r>
        <w:t>Question: A patient with chronic hepatitis B develops hepatocellular carcinoma. Which viral factor most directly contributes to malignant transformation?</w:t>
      </w:r>
    </w:p>
    <w:p>
      <w:r>
        <w:t>(a) HBx protein inhibiting p53 and promoting genomic instability</w:t>
      </w:r>
    </w:p>
    <w:p>
      <w:r>
        <w:t>(b) Viral protease digesting tumor suppressors</w:t>
      </w:r>
    </w:p>
    <w:p>
      <w:r>
        <w:t>(c) Viral RNA secondary structures causing mutagenesis</w:t>
      </w:r>
    </w:p>
    <w:p>
      <w:r>
        <w:t>(d) Envelope protein directly activating oncogenes</w:t>
      </w:r>
    </w:p>
    <w:p>
      <w:r>
        <w:t>Answer: a</w:t>
      </w:r>
    </w:p>
    <w:p>
      <w:r>
        <w:t>Solution: HBx protein is a multifunctional HBV gene product that directly inhibits p53 tumor suppressor protein, promotes genomic instability, and activates cell proliferation pathways including Wnt/β-catenin signaling, making it the primary oncogenic viral factor. HBx interferes with apoptosis and accelerates hepatocyte immortalization. Protease function in HBV is limited to processing viral polyproteins, not tumor suppressors. Envelope proteins are primarily immunogenic. Integration itself creates mutagenic hotspots but requires HBx-mediated p53 inhibition for transformation. For nursing understanding, HBx-driven carcinogenesis explains aggressive HCC development in chronic HBV carriers and supports rationale for antiviral therapy and surveillance in preventing malignant transformation.</w:t>
      </w:r>
    </w:p>
    <w:p>
      <w:r>
        <w:t>Positive Marks: 1</w:t>
      </w:r>
    </w:p>
    <w:p>
      <w:r>
        <w:t>Negative Marks: 0.33</w:t>
      </w:r>
    </w:p>
    <w:p>
      <w:r>
        <w:t>Question: Oral Polio Vaccine (OPV) is classified as which type of vaccine?</w:t>
      </w:r>
    </w:p>
    <w:p>
      <w:r>
        <w:t>(a) Toxoid vaccine</w:t>
      </w:r>
    </w:p>
    <w:p>
      <w:r>
        <w:t>(b) Inactivated whole virus vaccine</w:t>
      </w:r>
    </w:p>
    <w:p>
      <w:r>
        <w:t>(c) Recombinant vaccine</w:t>
      </w:r>
    </w:p>
    <w:p>
      <w:r>
        <w:t>(d) Live attenuated vaccine</w:t>
      </w:r>
    </w:p>
    <w:p>
      <w:r>
        <w:t>Answer: d</w:t>
      </w:r>
    </w:p>
    <w:p>
      <w:r>
        <w:t>Solution: OPV is a live attenuated vaccine containing weakened strains of all three poliovirus serotypes (trivalent) that replicate in the intestine. Inactivated Polio Vaccine (IPV) is the other type, which is inactivated. Recombinant vaccines are produced using genetic engineering. Toxoid vaccines contain inactivated toxins, not applicable to viral vaccines.</w:t>
      </w:r>
    </w:p>
    <w:p>
      <w:r>
        <w:t>Positive Marks: 1</w:t>
      </w:r>
    </w:p>
    <w:p>
      <w:r>
        <w:t>Negative Marks: 0.33</w:t>
      </w:r>
    </w:p>
    <w:p>
      <w:r>
        <w:t>Question: Blackwater fever in malaria is characterized by:</w:t>
      </w:r>
    </w:p>
    <w:p>
      <w:r>
        <w:t>(a) Fever with black-colored vomitus</w:t>
      </w:r>
    </w:p>
    <w:p>
      <w:r>
        <w:t>(b) Massive hepatomegaly with hepatic necrosis</w:t>
      </w:r>
    </w:p>
    <w:p>
      <w:r>
        <w:t>(c) Fulminant renal necrosis alone</w:t>
      </w:r>
    </w:p>
    <w:p>
      <w:r>
        <w:t>(d) Severe intravascular hemolysis with hemoglobinuria causing dark urine</w:t>
      </w:r>
    </w:p>
    <w:p>
      <w:r>
        <w:t>Answer: d</w:t>
      </w:r>
    </w:p>
    <w:p>
      <w:r>
        <w:t>Solution: Blackwater fever is rare complication of P. falciparum (occasionally P. malariae) with massive intravascular hemolysis, hemoglobinuria, and acute renal failure. Dark urine results from hemoglobin and myoglobin excretion. Often follows quinine administration triggering immune hemolysis. Mortality 20-50%. Named for dark urine color from massive hemoglobinuria.</w:t>
      </w:r>
    </w:p>
    <w:p>
      <w:r>
        <w:t>Positive Marks: 1</w:t>
      </w:r>
    </w:p>
    <w:p>
      <w:r>
        <w:t>Negative Marks: 0.33</w:t>
      </w:r>
    </w:p>
    <w:p>
      <w:r>
        <w:t>Question: What is the typical duration of arthralgia and arthritis in chikungunya fever?</w:t>
      </w:r>
    </w:p>
    <w:p>
      <w:r>
        <w:t>(a) Weeks to months, sometimes months to years</w:t>
      </w:r>
    </w:p>
    <w:p>
      <w:r>
        <w:t>(b) A few hours to maximum 1 day</w:t>
      </w:r>
    </w:p>
    <w:p>
      <w:r>
        <w:t>(c) 3-7 days</w:t>
      </w:r>
    </w:p>
    <w:p>
      <w:r>
        <w:t>(d) 1-2 weeks</w:t>
      </w:r>
    </w:p>
    <w:p>
      <w:r>
        <w:t>Answer: a</w:t>
      </w:r>
    </w:p>
    <w:p>
      <w:r>
        <w:t>Solution: Chikungunya causes prolonged arthralgia lasting weeks to months and may persist for years in some patients (chronic phase). This distinguishes it from dengue where arthralgia is mild and resolves within days. The persistent joint pain significantly impacts morbidity and quality of life. Understanding natural history helps in patient counseling and prognosis.</w:t>
      </w:r>
    </w:p>
    <w:p>
      <w:r>
        <w:t>Positive Marks: 1</w:t>
      </w:r>
    </w:p>
    <w:p>
      <w:r>
        <w:t>Negative Marks: 0.33</w:t>
      </w:r>
    </w:p>
    <w:p>
      <w:r>
        <w:t>Question: Droplet precautions for confirmed influenza should continue for:</w:t>
      </w:r>
    </w:p>
    <w:p>
      <w:r>
        <w:t>(a) 7 days from hospital admission date</w:t>
      </w:r>
    </w:p>
    <w:p>
      <w:r>
        <w:t>(b) Entire duration of hospitalization</w:t>
      </w:r>
    </w:p>
    <w:p>
      <w:r>
        <w:t>(c) 24 hours after fever resolution</w:t>
      </w:r>
    </w:p>
    <w:p>
      <w:r>
        <w:t>(d) Until hospital discharge</w:t>
      </w:r>
    </w:p>
    <w:p>
      <w:r>
        <w:t>Answer: c</w:t>
      </w:r>
    </w:p>
    <w:p>
      <w:r>
        <w:t>Solution: CDC guidelines recommend droplet precautions for influenza continue 24 hours after fever resolves without antipyretics, as viral shedding significantly decreases after fever breaks. Option b extends precautions unnecessarily beyond infectious period. Option a is arbitrary and may be too long or short depending on admission timing. Option d continues precautions beyond necessary period. Precautions duration is based on clinical improvement and reduced infectivity, not calendar time.</w:t>
      </w:r>
    </w:p>
    <w:p>
      <w:r>
        <w:t>Positive Marks: 1</w:t>
      </w:r>
    </w:p>
    <w:p>
      <w:r>
        <w:t>Negative Marks: 0.33</w:t>
      </w:r>
    </w:p>
    <w:p>
      <w:r>
        <w:t>Question: Which of the following vaccines is considered the most thermostable and requires the least stringent cold chain maintenance?</w:t>
      </w:r>
    </w:p>
    <w:p>
      <w:r>
        <w:t>(a) Hepatitis B vaccine</w:t>
      </w:r>
    </w:p>
    <w:p>
      <w:r>
        <w:t>(b) Measles-containing vaccine</w:t>
      </w:r>
    </w:p>
    <w:p>
      <w:r>
        <w:t>(c) DPT vaccine</w:t>
      </w:r>
    </w:p>
    <w:p>
      <w:r>
        <w:t>(d) Oral polio vaccine (OPV)</w:t>
      </w:r>
    </w:p>
    <w:p>
      <w:r>
        <w:t>Answer: d</w:t>
      </w:r>
    </w:p>
    <w:p>
      <w:r>
        <w:t>Solution: OPV is relatively thermostable compared to other vaccines and can tolerate brief periods at elevated temperatures, making it suitable for outreach programs with less robust cold chain infrastructure. However, it still requires proper storage for optimal efficacy. Other vaccines are more heat-sensitive. This thermostability is why OPV has been preferred in high-temperature settings and is being replaced by IPV in some programs.</w:t>
      </w:r>
    </w:p>
    <w:p>
      <w:r>
        <w:t>Positive Marks: 1</w:t>
      </w:r>
    </w:p>
    <w:p>
      <w:r>
        <w:t>Negative Marks: 0.33</w:t>
      </w:r>
    </w:p>
    <w:p>
      <w:r>
        <w:t>Question: Hookworm infection causes significantly more severe anemia in young children compared to adults primarily because:</w:t>
      </w:r>
    </w:p>
    <w:p>
      <w:r>
        <w:t>(a) Worm burden is invariably higher in children than in all adults</w:t>
      </w:r>
    </w:p>
    <w:p>
      <w:r>
        <w:t>(b) Children have depleted iron stores and higher metabolic iron demands, making them vulnerable to rapid iron depletion</w:t>
      </w:r>
    </w:p>
    <w:p>
      <w:r>
        <w:t>(c) Adults acquire complete lifelong immunity preventing clinical anemia</w:t>
      </w:r>
    </w:p>
    <w:p>
      <w:r>
        <w:t>(d) Different hookworm species preferentially infect children</w:t>
      </w:r>
    </w:p>
    <w:p>
      <w:r>
        <w:t>Answer: b</w:t>
      </w:r>
    </w:p>
    <w:p>
      <w:r>
        <w:t>Solution: Children suffer more severe anemia from hookworm because they have limited iron reserves, ongoing growth requirements, and typically inadequate dietary iron intake in endemic areas, making them unable to compensate for chronic blood losses. Both children and adults can be infected with identical hookworm species; immunity develops gradually but does not prevent infection. Adult anemia is usually moderate due to established iron stores and better nutritional status. This age-related severity contributes to stunting, impaired cognition, and developmental delays in infected children.</w:t>
      </w:r>
    </w:p>
    <w:p>
      <w:r>
        <w:t>Positive Marks: 1</w:t>
      </w:r>
    </w:p>
    <w:p>
      <w:r>
        <w:t>Negative Marks: 0.33</w:t>
      </w:r>
    </w:p>
    <w:p>
      <w:r>
        <w:t>Question: A patient tests positive in serological test for a particular infection but shows no clinical symptoms. Which interpretation is MOST appropriate?</w:t>
      </w:r>
    </w:p>
    <w:p>
      <w:r>
        <w:t>(a) Seropositivity alone does not confirm active disease; clinical correlation, viral load, and repeat testing may be needed; could indicate past infection, vaccination, or early infection before symptoms appear</w:t>
      </w:r>
    </w:p>
    <w:p>
      <w:r>
        <w:t>(b) The test is definitely false positive and should be ignored</w:t>
      </w:r>
    </w:p>
    <w:p>
      <w:r>
        <w:t>(c) The patient definitely has the disease despite absence of symptoms</w:t>
      </w:r>
    </w:p>
    <w:p>
      <w:r>
        <w:t>(d) The patient will definitely develop clinical disease within 24 hours</w:t>
      </w:r>
    </w:p>
    <w:p>
      <w:r>
        <w:t>Answer: a</w:t>
      </w:r>
    </w:p>
    <w:p>
      <w:r>
        <w:t>Solution: Serological positivity does not always indicate active disease; it could represent past infection (immunity), vaccination-induced immunity, or early infection in window period before symptoms. Clinical correlation with symptoms, signs, and sometimes additional tests (e.g., viral load for HIV) is essential. An isolated positive serology without clinical context may represent past exposure or vaccination. This principle is crucial in infectious disease diagnostics. NOT automatically false positive or definitive of active disease.</w:t>
      </w:r>
    </w:p>
    <w:p>
      <w:r>
        <w:t>Positive Marks: 1</w:t>
      </w:r>
    </w:p>
    <w:p>
      <w:r>
        <w:t>Negative Marks: 0.33</w:t>
      </w:r>
    </w:p>
    <w:p>
      <w:r>
        <w:t>Question: Which opportunistic infection typically occurs when CD4 count falls below 50 cells/μL in an AIDS patient?</w:t>
      </w:r>
    </w:p>
    <w:p>
      <w:r>
        <w:t>(a) Cytomegalovirus (CMV) retinitis</w:t>
      </w:r>
    </w:p>
    <w:p>
      <w:r>
        <w:t>(b) Cryptococcal meningitis</w:t>
      </w:r>
    </w:p>
    <w:p>
      <w:r>
        <w:t>(c) Tuberculosis</w:t>
      </w:r>
    </w:p>
    <w:p>
      <w:r>
        <w:t>(d) Candida esophagitis</w:t>
      </w:r>
    </w:p>
    <w:p>
      <w:r>
        <w:t>Answer: a</w:t>
      </w:r>
    </w:p>
    <w:p>
      <w:r>
        <w:t>Solution: CMV retinitis occurs when CD4 &lt;50 cells/μL. Candida esophagitis appears at CD4 &lt;100. Cryptococcal meningitis occurs at CD4 &lt;50 (also &lt;100). TB can occur at any CD4 count. CMV retinitis specifically requires CD4 &lt;50 for significant risk; manifests as progressive outer retinal necrosis. PCP occurs at CD4 &lt;200. This knowledge is essential for prophylaxis decisions and patient monitoring in HIV care.</w:t>
      </w:r>
    </w:p>
    <w:p>
      <w:r>
        <w:t>Positive Marks: 1</w:t>
      </w:r>
    </w:p>
    <w:p>
      <w:r>
        <w:t>Negative Marks: 0.33</w:t>
      </w:r>
    </w:p>
    <w:p>
      <w:r>
        <w:t>Question: Which of the following is the MAIN clinical feature distinguishing COVID-19 from influenza?</w:t>
      </w:r>
    </w:p>
    <w:p>
      <w:r>
        <w:t>(a) COVID-19 more commonly causes anosmia and ageusia (loss of taste/smell), while influenza typically does not</w:t>
      </w:r>
    </w:p>
    <w:p>
      <w:r>
        <w:t>(b) COVID-19 never causes fever</w:t>
      </w:r>
    </w:p>
    <w:p>
      <w:r>
        <w:t>(c) Influenza has longer incubation period than COVID-19</w:t>
      </w:r>
    </w:p>
    <w:p>
      <w:r>
        <w:t>(d) Influenza causes pneumonia more frequently than COVID-19</w:t>
      </w:r>
    </w:p>
    <w:p>
      <w:r>
        <w:t>Answer: a</w:t>
      </w:r>
    </w:p>
    <w:p>
      <w:r>
        <w:t>Solution: Loss of taste and smell (anosmia and ageusia) is a distinctive feature of COVID-19, occurring in 33-50% of patients, while relatively uncommon in influenza. Both can cause pneumonia, though COVID-19 has higher rates of severe pneumonia. Both typically present with fever. Influenza has shorter incubation (1-4 days) than COVID-19 (2-14 days). Anosmia/ageusia helped differentiate COVID-19 from influenza during early pandemic diagnosis.</w:t>
      </w:r>
    </w:p>
    <w:p>
      <w:r>
        <w:t>Positive Marks: 1</w:t>
      </w:r>
    </w:p>
    <w:p>
      <w:r>
        <w:t>Negative Marks: 0.33</w:t>
      </w:r>
    </w:p>
    <w:p>
      <w:r>
        <w:t>Question: Rabies virus belongs to which family of viruses?</w:t>
      </w:r>
    </w:p>
    <w:p>
      <w:r>
        <w:t>(a) Paramyxoviridae</w:t>
      </w:r>
    </w:p>
    <w:p>
      <w:r>
        <w:t>(b) Arenaviridae</w:t>
      </w:r>
    </w:p>
    <w:p>
      <w:r>
        <w:t>(c) Filoviridae</w:t>
      </w:r>
    </w:p>
    <w:p>
      <w:r>
        <w:t>(d) Rhabdoviridae</w:t>
      </w:r>
    </w:p>
    <w:p>
      <w:r>
        <w:t>Answer: d</w:t>
      </w:r>
    </w:p>
    <w:p>
      <w:r>
        <w:t>Solution: Rabies virus is a member of the Rhabdoviridae family, characterized by bullet-shaped or rod-shaped morphology. Paramyxoviruses include measles and mumps. Filoviruses include Ebola and Marburg. Arenaviruses include Lassa virus. The bullet-shaped appearance is pathognomonic for Rhabdoviridae, helping identify rabies virus ultrastructurally.</w:t>
      </w:r>
    </w:p>
    <w:p>
      <w:r>
        <w:t>Positive Marks: 1</w:t>
      </w:r>
    </w:p>
    <w:p>
      <w:r>
        <w:t>Negative Marks: 0.33</w:t>
      </w:r>
    </w:p>
    <w:p>
      <w:r>
        <w:t>Question: An infant born to a mother who had varicella 2 weeks before delivery is at risk for which condition?</w:t>
      </w:r>
    </w:p>
    <w:p>
      <w:r>
        <w:t>(a) Passive immunity against varicella</w:t>
      </w:r>
    </w:p>
    <w:p>
      <w:r>
        <w:t>(b) Neonatal varicella from vertical transmission</w:t>
      </w:r>
    </w:p>
    <w:p>
      <w:r>
        <w:t>(c) Congenital varicella syndrome</w:t>
      </w:r>
    </w:p>
    <w:p>
      <w:r>
        <w:t>(d) Herpes zoster in infancy</w:t>
      </w:r>
    </w:p>
    <w:p>
      <w:r>
        <w:t>Answer: b</w:t>
      </w:r>
    </w:p>
    <w:p>
      <w:r>
        <w:t>Solution: Neonatal varicella occurs when maternal varicella develops within 5 days before to 2 days after delivery, leaving insufficient time for maternal antibody transfer. Risk is highest with onset 2 weeks before delivery. The neonate is at high risk for disseminated varicella (affecting multiple organs including lungs, liver, brain). Congenital varicella syndrome occurs with maternal infection during first or early second trimester with fetal varicella in utero. When maternal varicella occurs &gt;5 days before delivery (adequate antibody transfer), neonates typically develop mild disease or remain asymptomatic. Prophylactic VZIG (varicella-zoster immunoglobulin) or acyclovir may be needed for neonatal protection in this scenario.</w:t>
      </w:r>
    </w:p>
    <w:p>
      <w:r>
        <w:t>Positive Marks: 1</w:t>
      </w:r>
    </w:p>
    <w:p>
      <w:r>
        <w:t>Negative Marks: 0.33</w:t>
      </w:r>
    </w:p>
    <w:p>
      <w:r>
        <w:t>Question: What is the primary mode of transmission of lymphatic filariasis caused by Wuchereria bancrofti?</w:t>
      </w:r>
    </w:p>
    <w:p>
      <w:r>
        <w:t>(a) Through sexual transmission</w:t>
      </w:r>
    </w:p>
    <w:p>
      <w:r>
        <w:t>(b) Through direct contact with infected individuals</w:t>
      </w:r>
    </w:p>
    <w:p>
      <w:r>
        <w:t>(c) Through the bite of infected female mosquitoes (Culex, Anopheles, Aedes)</w:t>
      </w:r>
    </w:p>
    <w:p>
      <w:r>
        <w:t>(d) Through contaminated food and water</w:t>
      </w:r>
    </w:p>
    <w:p>
      <w:r>
        <w:t>Answer: c</w:t>
      </w:r>
    </w:p>
    <w:p>
      <w:r>
        <w:t>Solution: W. bancrofti is transmitted by the bite of infected female Culex, Anopheles, and Aedes mosquitoes carrying microfilariae. Food/water transmission does not occur for filarial worms. Direct contact and sexual transmission are not routes of transmission. Mnemonic: 'Mosquito Mover'—filaria moves through mosquito vectors.</w:t>
      </w:r>
    </w:p>
    <w:p>
      <w:r>
        <w:t>Positive Marks: 1</w:t>
      </w:r>
    </w:p>
    <w:p>
      <w:r>
        <w:t>Negative Marks: 0.33</w:t>
      </w:r>
    </w:p>
    <w:p>
      <w:r>
        <w:t>Question: A 30-year-old patient presents 5 days after potential high-risk sexual HIV exposure with fever, rash, and cervical lymphadenopathy. Rapid HIV antibody test is negative. Which statement best explains this clinical presentation?</w:t>
      </w:r>
    </w:p>
    <w:p>
      <w:r>
        <w:t>(a) Rapid antibody tests are 100% sensitive and can reliably exclude HIV infection within the first 5 days</w:t>
      </w:r>
    </w:p>
    <w:p>
      <w:r>
        <w:t>(b) The patient has acute retroviral syndrome but the negative test rules out HIV infection</w:t>
      </w:r>
    </w:p>
    <w:p>
      <w:r>
        <w:t>(c) The patient may be in the window period when viral replication is high but antibodies remain undetectable</w:t>
      </w:r>
    </w:p>
    <w:p>
      <w:r>
        <w:t>(d) The patient is definitely HIV-negative because the rapid antibody test is negative</w:t>
      </w:r>
    </w:p>
    <w:p>
      <w:r>
        <w:t>Answer: c</w:t>
      </w:r>
    </w:p>
    <w:p>
      <w:r>
        <w:t>Solution: The window period represents the interval between HIV acquisition and seroconversion when viral replication is high but antibodies remain undetectable. This patient's fever, rash, and lymphadenopathy 5 days post-exposure is consistent with acute retroviral syndrome (primary HIV infection), occurring 2-4 weeks post-infection with high viremia. Option (d) is wrong—negative tests cannot exclude infection during window period; (b) is self-contradictory as ARS IS HIV infection; (a) is false as rapid tests lack early sensitivity. Key mnemonic: 'Window = Negative serology but positive viremia' and 'ARS = 2-4 weeks'. Nursing implication: manage as possible HIV; repeat testing (4th generation or HIV RNA) if clinical suspicion remains.</w:t>
      </w:r>
    </w:p>
    <w:p>
      <w:r>
        <w:t>Positive Marks: 1</w:t>
      </w:r>
    </w:p>
    <w:p>
      <w:r>
        <w:t>Negative Marks: 0.33</w:t>
      </w:r>
    </w:p>
    <w:p>
      <w:r>
        <w:t>Question: The viral capsid structure is fundamentally composed of which molecular component?</w:t>
      </w:r>
    </w:p>
    <w:p>
      <w:r>
        <w:t>(a) Lipids and carbohydrate chains organized in bilayer configuration</w:t>
      </w:r>
    </w:p>
    <w:p>
      <w:r>
        <w:t>(b) Multiple copies of protein molecules (protomers) assembling into larger structural units (capsomers)</w:t>
      </w:r>
    </w:p>
    <w:p>
      <w:r>
        <w:t>(c) Enzymatic proteins and cofactors necessary for viral replication</w:t>
      </w:r>
    </w:p>
    <w:p>
      <w:r>
        <w:t>(d) Circular or linear nucleic acid polymers directly cross-linked</w:t>
      </w:r>
    </w:p>
    <w:p>
      <w:r>
        <w:t>Answer: b</w:t>
      </w:r>
    </w:p>
    <w:p>
      <w:r>
        <w:t>Solution: Viral capsids are protein polymer structures composed of multiple copies of single or few protein species (protomers) self-assembling into capsomers, which further assemble into the complete capsid with precise geometric symmetry. Option a describes envelope components; c describes genetic material; d describes replication enzymes. The capsid is purely protein—no nucleic acid, lipids, or enzymatic cofactors are structural components. This protein architecture is fundamental to virology.</w:t>
      </w:r>
    </w:p>
    <w:p>
      <w:r>
        <w:t>Positive Marks: 1</w:t>
      </w:r>
    </w:p>
    <w:p>
      <w:r>
        <w:t>Negative Marks: 0.33</w:t>
      </w:r>
    </w:p>
    <w:p>
      <w:r>
        <w:t>Question: Hepatitis E virus is primarily transmitted through which route?</w:t>
      </w:r>
    </w:p>
    <w:p>
      <w:r>
        <w:t>(a) Fecal-oral route</w:t>
      </w:r>
    </w:p>
    <w:p>
      <w:r>
        <w:t>(b) Parenteral route</w:t>
      </w:r>
    </w:p>
    <w:p>
      <w:r>
        <w:t>(c) Respiratory droplets</w:t>
      </w:r>
    </w:p>
    <w:p>
      <w:r>
        <w:t>(d) Sexual contact</w:t>
      </w:r>
    </w:p>
    <w:p>
      <w:r>
        <w:t>Answer: a</w:t>
      </w:r>
    </w:p>
    <w:p>
      <w:r>
        <w:t>Solution: HEV is transmitted primarily through fecal-oral route, similar to HAV, particularly through contaminated water in endemic areas. Unlike HAV, HEV has significant zoonotic transmission from pigs and other animals. Sexual transmission is rare. Parenteral transmission is minimal. This fecal-oral transmission pattern makes HEV endemic in areas with poor sanitation. For nurses, sanitation counseling and water safety education are important preventive measures, especially in pregnancy where HEV carries higher mortality risk.</w:t>
      </w:r>
    </w:p>
    <w:p>
      <w:r>
        <w:t>Positive Marks: 1</w:t>
      </w:r>
    </w:p>
    <w:p>
      <w:r>
        <w:t>Negative Marks: 0.33</w:t>
      </w:r>
    </w:p>
    <w:p>
      <w:r>
        <w:t>Question: During polio epidemics in endemic areas, which age group typically shows the highest morbidity and mortality?</w:t>
      </w:r>
    </w:p>
    <w:p>
      <w:r>
        <w:t>(a) School-age children (5-14 years)</w:t>
      </w:r>
    </w:p>
    <w:p>
      <w:r>
        <w:t>(b) Adults 20-40 years</w:t>
      </w:r>
    </w:p>
    <w:p>
      <w:r>
        <w:t>(c) Elderly above 60 years</w:t>
      </w:r>
    </w:p>
    <w:p>
      <w:r>
        <w:t>(d) Children under 5 years</w:t>
      </w:r>
    </w:p>
    <w:p>
      <w:r>
        <w:t>Answer: d</w:t>
      </w:r>
    </w:p>
    <w:p>
      <w:r>
        <w:t>Solution: Children under 5 years have the highest susceptibility and severity in polio epidemics because they have incomplete immunization, poor sanitation exposure, and developing immune systems. School-age children have better immunity through prior vaccination. Adults and elderly show lower incidence due to either vaccination or prior natural infection in endemic areas.</w:t>
      </w:r>
    </w:p>
    <w:p>
      <w:r>
        <w:t>Positive Marks: 1</w:t>
      </w:r>
    </w:p>
    <w:p>
      <w:r>
        <w:t>Negative Marks: 0.33</w:t>
      </w:r>
    </w:p>
    <w:p>
      <w:r>
        <w:t>Question: Which Aedes species is an important secondary vector of chikungunya in Asian regions?</w:t>
      </w:r>
    </w:p>
    <w:p>
      <w:r>
        <w:t>(a) Aedes albopictus</w:t>
      </w:r>
    </w:p>
    <w:p>
      <w:r>
        <w:t>(b) Aedes vittatus</w:t>
      </w:r>
    </w:p>
    <w:p>
      <w:r>
        <w:t>(c) Aedes cinereus</w:t>
      </w:r>
    </w:p>
    <w:p>
      <w:r>
        <w:t>(d) Aedes vexans</w:t>
      </w:r>
    </w:p>
    <w:p>
      <w:r>
        <w:t>Answer: a</w:t>
      </w:r>
    </w:p>
    <w:p>
      <w:r>
        <w:t>Solution: Aedes albopictus (Asian tiger mosquito) is the secondary vector of chikungunya in Asia, becoming dominant during epidemics in rural and semi-urban areas. While Aedes aegypti is the primary urban vector, albopictus has expanded its role in transmission. The geographic distribution and behavior of different vectors influences epidemic patterns and control strategies.</w:t>
      </w:r>
    </w:p>
    <w:p>
      <w:r>
        <w:t>Positive Marks: 1</w:t>
      </w:r>
    </w:p>
    <w:p>
      <w:r>
        <w:t>Negative Marks: 0.33</w:t>
      </w:r>
    </w:p>
    <w:p>
      <w:r>
        <w:t>Question: Which of the following infections MUST be managed under airborne precautions?</w:t>
      </w:r>
    </w:p>
    <w:p>
      <w:r>
        <w:t>(a) Measles</w:t>
      </w:r>
    </w:p>
    <w:p>
      <w:r>
        <w:t>(b) Influenza</w:t>
      </w:r>
    </w:p>
    <w:p>
      <w:r>
        <w:t>(c) Varicella (chickenpox)</w:t>
      </w:r>
    </w:p>
    <w:p>
      <w:r>
        <w:t>(d) Both a and c</w:t>
      </w:r>
    </w:p>
    <w:p>
      <w:r>
        <w:t>Answer: d</w:t>
      </w:r>
    </w:p>
    <w:p>
      <w:r>
        <w:t>Solution: Both measles and varicella require airborne precautions as they spread via airborne particles traveling long distances. Influenza spreads via respiratory droplets (larger particles that fall within 3-6 feet), requiring droplet precautions only. Option b is incorrect because influenza needs droplet, not airborne precautions. Both a and c are correct, making d the complete answer. Classic memory aid: Measles, Mumps, TB, Chickenpox = Airborne; Influenza, Pertussis = Droplet.</w:t>
      </w:r>
    </w:p>
    <w:p>
      <w:r>
        <w:t>Positive Marks: 1</w:t>
      </w:r>
    </w:p>
    <w:p>
      <w:r>
        <w:t>Negative Marks: 0.33</w:t>
      </w:r>
    </w:p>
    <w:p>
      <w:r>
        <w:t>Question: Which vaccine in the routine immunization schedule is stored separately in its own dedicated compartment and NOT mixed with other vaccines in the ice-lined refrigerator?</w:t>
      </w:r>
    </w:p>
    <w:p>
      <w:r>
        <w:t>(a) Hepatitis B vaccine</w:t>
      </w:r>
    </w:p>
    <w:p>
      <w:r>
        <w:t>(b) MMR vaccine</w:t>
      </w:r>
    </w:p>
    <w:p>
      <w:r>
        <w:t>(c) Oral polio vaccine (OPV)</w:t>
      </w:r>
    </w:p>
    <w:p>
      <w:r>
        <w:t>(d) DPT vaccine</w:t>
      </w:r>
    </w:p>
    <w:p>
      <w:r>
        <w:t>Answer: c</w:t>
      </w:r>
    </w:p>
    <w:p>
      <w:r>
        <w:t>Solution: OPV requires separate storage in its own compartment due to its sensitivity to cross-contamination from other vaccines and its different handling requirements. This prevents cross-contact that could affect its potency. Other vaccines can be stored together in the same compartment. This is a critical cold chain management practice emphasized in immunization program guidelines.</w:t>
      </w:r>
    </w:p>
    <w:p>
      <w:r>
        <w:t>Positive Marks: 1</w:t>
      </w:r>
    </w:p>
    <w:p>
      <w:r>
        <w:t>Negative Marks: 0.33</w:t>
      </w:r>
    </w:p>
    <w:p>
      <w:r>
        <w:t>Question: Which scenario best represents the appropriate application of Western blot test in serological diagnosis?</w:t>
      </w:r>
    </w:p>
    <w:p>
      <w:r>
        <w:t>(a) Rapid screening test for acute phase infections in emergency departments</w:t>
      </w:r>
    </w:p>
    <w:p>
      <w:r>
        <w:t>(b) Primary test to detect antigens in acute infection before antibody formation</w:t>
      </w:r>
    </w:p>
    <w:p>
      <w:r>
        <w:t>(c) First-line test for all serological diagnoses due to high sensitivity</w:t>
      </w:r>
    </w:p>
    <w:p>
      <w:r>
        <w:t>(d) Confirmation of positive ELISA results for HIV, hepatitis B, or hepatitis C by detecting specific antibodies against viral proteins of different molecular weights; provides species and strain identification</w:t>
      </w:r>
    </w:p>
    <w:p>
      <w:r>
        <w:t>Answer: d</w:t>
      </w:r>
    </w:p>
    <w:p>
      <w:r>
        <w:t>Solution: Western blot is a confirmatory test used after positive screening (ELISA) to detect antibodies against specific viral proteins separated by molecular weight. It provides specificity and can differentiate between viral strains. NOT suitable as first-line screening test due to complexity, cost, and delayed results. NOT effective in detecting antigens or early infection. Current HIV recommendations include 4th generation ELISA + Western blot. ALGORITHM: ELISA (screening) → Western blot (confirmation).</w:t>
      </w:r>
    </w:p>
    <w:p>
      <w:r>
        <w:t>Positive Marks: 1</w:t>
      </w:r>
    </w:p>
    <w:p>
      <w:r>
        <w:t>Negative Marks: 0.33</w:t>
      </w:r>
    </w:p>
    <w:p>
      <w:r>
        <w:t>Question: According to WHO 2015 criteria, AIDS is diagnosed in a person with HIV when CD4 &lt;200 cells/μL OR presence of which condition?</w:t>
      </w:r>
    </w:p>
    <w:p>
      <w:r>
        <w:t>(a) Any opportunistic infection excluding tuberculosis</w:t>
      </w:r>
    </w:p>
    <w:p>
      <w:r>
        <w:t>(b) Only tuberculosis in any form</w:t>
      </w:r>
    </w:p>
    <w:p>
      <w:r>
        <w:t>(c) Viral load &gt;10,000 copies/mL</w:t>
      </w:r>
    </w:p>
    <w:p>
      <w:r>
        <w:t>(d) Any WHO Stage 3 or Stage 4 defining illness</w:t>
      </w:r>
    </w:p>
    <w:p>
      <w:r>
        <w:t>Answer: d</w:t>
      </w:r>
    </w:p>
    <w:p>
      <w:r>
        <w:t>Solution: WHO 2015 criteria define AIDS as CD4 &lt;200 cells/μL OR clinical WHO Stage 3 or 4 condition (TB, PCP, cryptococcal disease, CMV, toxoplasmosis, MAC). TB qualifies as Stage 3. Any opportunistic infection can indicate AIDS. Viral load is not part of AIDS diagnosis criteria (though prognostically important). Stage 1-2 conditions don't diagnose AIDS if CD4 &gt;200. Understanding WHO staging is essential for NORCET.</w:t>
      </w:r>
    </w:p>
    <w:p>
      <w:r>
        <w:t>Positive Marks: 1</w:t>
      </w:r>
    </w:p>
    <w:p>
      <w:r>
        <w:t>Negative Marks: 0.33</w:t>
      </w:r>
    </w:p>
    <w:p>
      <w:r>
        <w:t>Question: Which antiviral agent is MOST effective when administered within 48 hours of influenza symptom onset?</w:t>
      </w:r>
    </w:p>
    <w:p>
      <w:r>
        <w:t>(a) Amoxicillin</w:t>
      </w:r>
    </w:p>
    <w:p>
      <w:r>
        <w:t>(b) Oseltamivir (Tamiflu)</w:t>
      </w:r>
    </w:p>
    <w:p>
      <w:r>
        <w:t>(c) Azithromycin</w:t>
      </w:r>
    </w:p>
    <w:p>
      <w:r>
        <w:t>(d) Cephalexin</w:t>
      </w:r>
    </w:p>
    <w:p>
      <w:r>
        <w:t>Answer: b</w:t>
      </w:r>
    </w:p>
    <w:p>
      <w:r>
        <w:t>Solution: Oseltamivir is a neuraminidase inhibitor that reduces symptom duration by approximately 1 day when given within 48 hours of symptom onset and reduces complications and hospitalization rates. Amoxicillin and Cephalexin are beta-lactam antibiotics completely ineffective against viruses. Azithromycin has no direct antiviral activity against influenza. The 48-hour window is critical for efficacy, making early diagnosis and rapid treatment initiation essential.</w:t>
      </w:r>
    </w:p>
    <w:p>
      <w:r>
        <w:t>Positive Marks: 1</w:t>
      </w:r>
    </w:p>
    <w:p>
      <w:r>
        <w:t>Negative Marks: 0.33</w:t>
      </w:r>
    </w:p>
    <w:p>
      <w:r>
        <w:t>Question: Which clinical form of rabies presents with aggressive behavior, hydrophobia, and aerophobia?</w:t>
      </w:r>
    </w:p>
    <w:p>
      <w:r>
        <w:t>(a) Dumb rabies</w:t>
      </w:r>
    </w:p>
    <w:p>
      <w:r>
        <w:t>(b) Paralytic rabies</w:t>
      </w:r>
    </w:p>
    <w:p>
      <w:r>
        <w:t>(c) Furious rabies</w:t>
      </w:r>
    </w:p>
    <w:p>
      <w:r>
        <w:t>(d) Atypical rabies</w:t>
      </w:r>
    </w:p>
    <w:p>
      <w:r>
        <w:t>Answer: c</w:t>
      </w:r>
    </w:p>
    <w:p>
      <w:r>
        <w:t>Solution: Furious rabies accounts for approximately 80% of cases and presents with agitation, aggression, hypersensitivity to light and sound, hydrophobia (fear of water with painful pharyngeal spasms on attempting to drink), and aerophobia (fear of drafts). Paralytic rabies presents with ascending paralysis starting from bite site. Atypical forms are rare. Dumb rabies is synonymous with paralytic rabies. The hydrophobia and aggression are hallmark features of the furious form.</w:t>
      </w:r>
    </w:p>
    <w:p>
      <w:r>
        <w:t>Positive Marks: 1</w:t>
      </w:r>
    </w:p>
    <w:p>
      <w:r>
        <w:t>Negative Marks: 0.33</w:t>
      </w:r>
    </w:p>
    <w:p>
      <w:r>
        <w:t>Question: A child presents with fever (38.5°C), malaise, and headache for 2 days, followed by appearance of maculopapular rash on face and neck on the third day. There are no respiratory symptoms. Which prodromal symptom is most characteristic of measles?</w:t>
      </w:r>
    </w:p>
    <w:p>
      <w:r>
        <w:t>(a) Vesicular lesions</w:t>
      </w:r>
    </w:p>
    <w:p>
      <w:r>
        <w:t>(b) Fever with 3Cs: cough, coryza, conjunctivitis</w:t>
      </w:r>
    </w:p>
    <w:p>
      <w:r>
        <w:t>(c) Abdominal pain and diarrhea</w:t>
      </w:r>
    </w:p>
    <w:p>
      <w:r>
        <w:t>(d) Severe throat pain</w:t>
      </w:r>
    </w:p>
    <w:p>
      <w:r>
        <w:t>Answer: b</w:t>
      </w:r>
    </w:p>
    <w:p>
      <w:r>
        <w:t>Solution: The prodromal phase of measles (2-4 days before rash) is characterized by fever and the classic 3Cs: cough, coryza (nasal discharge), and conjunctivitis (without exudate). Additional features include malaise and Koplik spots on buccal mucosa. This prodromal phase is often mistaken for upper respiratory infection. Recognizing this distinctive prodromal pattern helps nurses identify suspected measles early before the typical rash appears. Severe throat pain and GI symptoms are not characteristic. Vesicles are associated with varicella, not measles. This pattern recognition is essential for triage and infection control decisions in nursing practice.</w:t>
      </w:r>
    </w:p>
    <w:p>
      <w:r>
        <w:t>Positive Marks: 1</w:t>
      </w:r>
    </w:p>
    <w:p>
      <w:r>
        <w:t>Negative Marks: 0.33</w:t>
      </w:r>
    </w:p>
    <w:p>
      <w:r>
        <w:t>Question: Long-term non-progressors (patients who maintain CD4 counts &gt;500 cells/mm³ without antiretroviral therapy for &gt;10 years) show strong association with which HLA class I allele?</w:t>
      </w:r>
    </w:p>
    <w:p>
      <w:r>
        <w:t>(a) HLA-Cw4</w:t>
      </w:r>
    </w:p>
    <w:p>
      <w:r>
        <w:t>(b) HLA-DR7</w:t>
      </w:r>
    </w:p>
    <w:p>
      <w:r>
        <w:t>(c) HLA-B27, HLA-B51, and especially HLA-B57</w:t>
      </w:r>
    </w:p>
    <w:p>
      <w:r>
        <w:t>(d) HLA-A3 and HLA-B7</w:t>
      </w:r>
    </w:p>
    <w:p>
      <w:r>
        <w:t>Answer: c</w:t>
      </w:r>
    </w:p>
    <w:p>
      <w:r>
        <w:t>Solution: HLA-B27, HLA-B51, and particularly HLA-B57 are strongly associated with natural resistance to HIV progression and long-term non-progressive infection. These alleles facilitate presentation of HIV peptides to cytotoxic T lymphocytes (CTLs), generating potent anti-HIV immune responses that naturally control viral replication. HLA-B57 carriers frequently maintain spontaneous viral suppression with CD4 counts &gt;500 cells/mm³ without ART. Conversely, HLA-B35 and HLA-Cw4 are associated with rapid disease progression. HLA type also influences susceptibility to antiretroviral hypersensitivity (HLA-B*5701 with abacavir). Understanding these HLA-disease associations exemplifies genetic control of HIV infection and guides personalized medicine approaches. The protective HLA types provide insights into effective HIV immune responses useful for vaccine development.</w:t>
      </w:r>
    </w:p>
    <w:p>
      <w:r>
        <w:t>Positive Marks: 1</w:t>
      </w:r>
    </w:p>
    <w:p>
      <w:r>
        <w:t>Negative Marks: 0.33</w:t>
      </w:r>
    </w:p>
    <w:p>
      <w:r>
        <w:t>Question: Which statement most accurately reflects the diversity of viral genomes?</w:t>
      </w:r>
    </w:p>
    <w:p>
      <w:r>
        <w:t>(a) All viruses possess double-stranded DNA genomes larger than 100 kilobases</w:t>
      </w:r>
    </w:p>
    <w:p>
      <w:r>
        <w:t>(b) All single-stranded RNA viruses have positive polarity and require no viral enzymes</w:t>
      </w:r>
    </w:p>
    <w:p>
      <w:r>
        <w:t>(c) Viral genomes can be either DNA or RNA, single or double-stranded, and range greatly in size and complexity</w:t>
      </w:r>
    </w:p>
    <w:p>
      <w:r>
        <w:t>(d) Viral genetic material is always encased within a membrane-bound nucleus-like structure</w:t>
      </w:r>
    </w:p>
    <w:p>
      <w:r>
        <w:t>Answer: c</w:t>
      </w:r>
    </w:p>
    <w:p>
      <w:r>
        <w:t>Solution: Viral genomes display remarkable diversity: DNA (linear or circular, ds or ss), RNA (ds, ss+, or ss-), ranging from ~3,600 nucleotides (MS2 phage) to ~1.2 million (mimivirus). Option a ignores RNA viruses and size variation; c is false (negative-sense RNA viruses require replicase); d is false (no nucleus equivalent in viruses). This genomic heterogeneity reflects viral evolutionary adaptation across diverse ecological niches.</w:t>
      </w:r>
    </w:p>
    <w:p>
      <w:r>
        <w:t>Positive Marks: 1</w:t>
      </w:r>
    </w:p>
    <w:p>
      <w:r>
        <w:t>Negative Marks: 0.33</w:t>
      </w:r>
    </w:p>
    <w:p>
      <w:r>
        <w:t>Question: A chronic HBV patient presents with elevated bilirubin and prothrombin time prolongation. Which of the following represents hepatitis B 'e' antigen-negative viral escape mutant?</w:t>
      </w:r>
    </w:p>
    <w:p>
      <w:r>
        <w:t>(a) YMDD mutant (Tyrosine-Methionine-Aspartate-Aspartate)</w:t>
      </w:r>
    </w:p>
    <w:p>
      <w:r>
        <w:t>(b) Polymerase mutant (reverse transcriptase-deficient)</w:t>
      </w:r>
    </w:p>
    <w:p>
      <w:r>
        <w:t>(c) Precore mutant (defective HBeAg production)</w:t>
      </w:r>
    </w:p>
    <w:p>
      <w:r>
        <w:t>(d) Surface antigen mutant (vaccine escape mutant)</w:t>
      </w:r>
    </w:p>
    <w:p>
      <w:r>
        <w:t>Answer: c</w:t>
      </w:r>
    </w:p>
    <w:p>
      <w:r>
        <w:t>Solution: Precore mutants are defective in HBeAg production, resulting in HBeAg-negative chronic HBV with continued viral replication and high infectivity despite negative HBeAg. These emerge as escape variants during immune pressure. YMDD mutations represent drug-resistant variants from antiviral therapy (lamivudine resistance). Surface antigen mutants evade vaccine immunity. Polymerase mutants rarely occur naturally. Precore mutations are clinically significant because they cause aggressive liver disease despite HBeAg-negative status, potentially leading to misclassification as inactive carrier. For nursing, this highlights that HBeAg-negative status does not guarantee low infectivity or disease progression.</w:t>
      </w:r>
    </w:p>
    <w:p>
      <w:r>
        <w:t>Positive Marks: 1</w:t>
      </w:r>
    </w:p>
    <w:p>
      <w:r>
        <w:t>Negative Marks: 0.33</w:t>
      </w:r>
    </w:p>
    <w:p>
      <w:r>
        <w:t>Question: Poliovirus belongs to which family of viruses?</w:t>
      </w:r>
    </w:p>
    <w:p>
      <w:r>
        <w:t>(a) Herpesviridae</w:t>
      </w:r>
    </w:p>
    <w:p>
      <w:r>
        <w:t>(b) Picornaviridae</w:t>
      </w:r>
    </w:p>
    <w:p>
      <w:r>
        <w:t>(c) Paramyxoviridae</w:t>
      </w:r>
    </w:p>
    <w:p>
      <w:r>
        <w:t>(d) Rhabdoviridae</w:t>
      </w:r>
    </w:p>
    <w:p>
      <w:r>
        <w:t>Answer: b</w:t>
      </w:r>
    </w:p>
    <w:p>
      <w:r>
        <w:t>Solution: Poliovirus is a member of Picornaviridae family (pico = small, RNA = RNA virus), characterized as a non-enveloped, positive-sense RNA virus. Paramyxoviridae includes measles and mumps. Rhabdoviridae includes rabies virus. Herpesviridae includes herpes simplex and varicella. Memory aid: 'PICO = Poliovirus In Picornaviridae with Only RNA'.</w:t>
      </w:r>
    </w:p>
    <w:p>
      <w:r>
        <w:t>Positive Marks: 1</w:t>
      </w:r>
    </w:p>
    <w:p>
      <w:r>
        <w:t>Negative Marks: 0.33</w:t>
      </w:r>
    </w:p>
    <w:p>
      <w:r>
        <w:t>Question: Which clinical finding is a WARNING SIGN indicating progression to severe dengue?</w:t>
      </w:r>
    </w:p>
    <w:p>
      <w:r>
        <w:t>(a) Mild headache and myalgia</w:t>
      </w:r>
    </w:p>
    <w:p>
      <w:r>
        <w:t>(b) Low-grade fever with facial flushing</w:t>
      </w:r>
    </w:p>
    <w:p>
      <w:r>
        <w:t>(c) Petechial rash without other symptoms</w:t>
      </w:r>
    </w:p>
    <w:p>
      <w:r>
        <w:t>(d) Persistent vomiting and abdominal pain</w:t>
      </w:r>
    </w:p>
    <w:p>
      <w:r>
        <w:t>Answer: d</w:t>
      </w:r>
    </w:p>
    <w:p>
      <w:r>
        <w:t>Solution: Persistent vomiting and abdominal pain are WHO-recognized warning signs of dengue hemorrhagic fever progression. Other warning signs include bleeding manifestations, lethargy, liver enlargement, and rapid platelet decline. Mild headache and myalgia are common in uncomplicated dengue. Petechial rash alone without systemic signs does not constitute a warning sign. Early recognition enables timely fluid management and prevents shock.</w:t>
      </w:r>
    </w:p>
    <w:p>
      <w:r>
        <w:t>Positive Marks: 1</w:t>
      </w:r>
    </w:p>
    <w:p>
      <w:r>
        <w:t>Negative Marks: 0.33</w:t>
      </w:r>
    </w:p>
    <w:p>
      <w:r>
        <w:t>Question: Oral polio vaccine (OPV) is a live attenuated vaccine. At what temperature should it ideally be stored to maintain maximum potency?</w:t>
      </w:r>
    </w:p>
    <w:p>
      <w:r>
        <w:t>(a) 15°C to 25°C</w:t>
      </w:r>
    </w:p>
    <w:p>
      <w:r>
        <w:t>(b) -20°C or below</w:t>
      </w:r>
    </w:p>
    <w:p>
      <w:r>
        <w:t>(c) -20°C to -25°C or 2°C to 8°C</w:t>
      </w:r>
    </w:p>
    <w:p>
      <w:r>
        <w:t>(d) 2°C to 8°C</w:t>
      </w:r>
    </w:p>
    <w:p>
      <w:r>
        <w:t>Answer: c</w:t>
      </w:r>
    </w:p>
    <w:p>
      <w:r>
        <w:t>Solution: OPV can be stored either in a frozen state at -20°C to -25°C for long-term storage, or in a refrigerator at 2°C to 8°C for short-term use (up to 6 months). The frozen state significantly extends shelf life and maintains potency. Single temperature storage results in faster degradation. This dual-storage flexibility is unique to OPV among commonly used vaccines in India.</w:t>
      </w:r>
    </w:p>
    <w:p>
      <w:r>
        <w:t>Positive Marks: 1</w:t>
      </w:r>
    </w:p>
    <w:p>
      <w:r>
        <w:t>Negative Marks: 0.33</w:t>
      </w:r>
    </w:p>
    <w:p>
      <w:r>
        <w:t>Question: In serological diagnosis, what is the 'window period'?</w:t>
      </w:r>
    </w:p>
    <w:p>
      <w:r>
        <w:t>(a) Period between infection and appearance of detectable antibodies or antigens, during which tests may be negative</w:t>
      </w:r>
    </w:p>
    <w:p>
      <w:r>
        <w:t>(b) Duration for which a vaccine provides protective immunity</w:t>
      </w:r>
    </w:p>
    <w:p>
      <w:r>
        <w:t>(c) Time taken for immune system to produce memory cells</w:t>
      </w:r>
    </w:p>
    <w:p>
      <w:r>
        <w:t>(d) Period during which antibody titers are at maximum levels</w:t>
      </w:r>
    </w:p>
    <w:p>
      <w:r>
        <w:t>Answer: a</w:t>
      </w:r>
    </w:p>
    <w:p>
      <w:r>
        <w:t>Solution: The window period is the interval between exposure/infection and appearance of detectable antibodies or antigens—during this time, serological tests remain negative despite active infection. In HIV, this window can be 3-12 weeks for antibody tests but shorter for p24 antigen/NAT tests. Understanding the window period is crucial for counseling patients about repeat testing. KEY: Early in infection = window period = false-negative results possible.</w:t>
      </w:r>
    </w:p>
    <w:p>
      <w:r>
        <w:t>Positive Marks: 1</w:t>
      </w:r>
    </w:p>
    <w:p>
      <w:r>
        <w:t>Negative Marks: 0.33</w:t>
      </w:r>
    </w:p>
    <w:p>
      <w:r>
        <w:t>Question: The CD4 count threshold below which a patient is diagnosed with AIDS is:</w:t>
      </w:r>
    </w:p>
    <w:p>
      <w:r>
        <w:t>(a) &lt;500 cells/μL</w:t>
      </w:r>
    </w:p>
    <w:p>
      <w:r>
        <w:t>(b) &lt;200 cells/μL</w:t>
      </w:r>
    </w:p>
    <w:p>
      <w:r>
        <w:t>(c) &lt;100 cells/μL</w:t>
      </w:r>
    </w:p>
    <w:p>
      <w:r>
        <w:t>(d) &lt;50 cells/μL</w:t>
      </w:r>
    </w:p>
    <w:p>
      <w:r>
        <w:t>Answer: b</w:t>
      </w:r>
    </w:p>
    <w:p>
      <w:r>
        <w:t>Solution: According to WHO and CDC criteria, a CD4 count &lt;200 cells/μL indicates severe immunosuppression and AIDS diagnosis (Stage 3 HIV). CD4 &lt;100 predisposes to cytomegalovirus; &lt;50 to MAC (Mycobacterium avium complex). This threshold is critical for prophylaxis decisions: &lt;200 = PCP prophylaxis with TMP-SMX begins. Mnemonic: '200 is ZERO tolerance for infections'.</w:t>
      </w:r>
    </w:p>
    <w:p>
      <w:r>
        <w:t>Positive Marks: 1</w:t>
      </w:r>
    </w:p>
    <w:p>
      <w:r>
        <w:t>Negative Marks: 0.33</w:t>
      </w:r>
    </w:p>
    <w:p>
      <w:r>
        <w:t>Question: Which of the following is the MOST effective single preventive measure for influenza?</w:t>
      </w:r>
    </w:p>
    <w:p>
      <w:r>
        <w:t>(a) Vitamin C supplementation</w:t>
      </w:r>
    </w:p>
    <w:p>
      <w:r>
        <w:t>(b) Wearing N95 mask only when symptomatic</w:t>
      </w:r>
    </w:p>
    <w:p>
      <w:r>
        <w:t>(c) Antibiotic prophylaxis</w:t>
      </w:r>
    </w:p>
    <w:p>
      <w:r>
        <w:t>(d) Annual influenza vaccination</w:t>
      </w:r>
    </w:p>
    <w:p>
      <w:r>
        <w:t>Answer: d</w:t>
      </w:r>
    </w:p>
    <w:p>
      <w:r>
        <w:t>Solution: Annual influenza vaccination is the most effective preventive measure, reducing disease incidence by 40-60% depending on vaccine-strain match. Masks provide protection but are less effective than vaccination for primary prevention. Vitamin C lacks strong evidence for influenza prevention. Antibiotics are ineffective against viral infections and inappropriate for viral prophylaxis. Vaccination protects both individuals and the community through herd immunity.</w:t>
      </w:r>
    </w:p>
    <w:p>
      <w:r>
        <w:t>Positive Marks: 1</w:t>
      </w:r>
    </w:p>
    <w:p>
      <w:r>
        <w:t>Negative Marks: 0.33</w:t>
      </w:r>
    </w:p>
    <w:p>
      <w:r>
        <w:t>Question: After entering the body, rabies virus primarily replicates in which tissue before reaching the CNS?</w:t>
      </w:r>
    </w:p>
    <w:p>
      <w:r>
        <w:t>(a) Bone marrow</w:t>
      </w:r>
    </w:p>
    <w:p>
      <w:r>
        <w:t>(b) Muscle cells at the bite site</w:t>
      </w:r>
    </w:p>
    <w:p>
      <w:r>
        <w:t>(c) Skin fibroblasts</w:t>
      </w:r>
    </w:p>
    <w:p>
      <w:r>
        <w:t>(d) Lymph nodes</w:t>
      </w:r>
    </w:p>
    <w:p>
      <w:r>
        <w:t>Answer: b</w:t>
      </w:r>
    </w:p>
    <w:p>
      <w:r>
        <w:t>Solution: Rabies virus first replicates in muscle cells (myocytes) at the site of inoculation/bite. This initial multiplication in muscle tissue occurs during the incubation period. The virus then enters the neuromuscular junction and travels retrograde along motor nerves to the spinal cord and brain. This is why the incubation period varies with the distance from bite to brain—bites closer to the head have shorter incubation periods. Muscle is the primary replication site before neural entry.</w:t>
      </w:r>
    </w:p>
    <w:p>
      <w:r>
        <w:t>Positive Marks: 1</w:t>
      </w:r>
    </w:p>
    <w:p>
      <w:r>
        <w:t>Negative Marks: 0.33</w:t>
      </w:r>
    </w:p>
    <w:p>
      <w:r>
        <w:t>Question: A vaccine manufacturer reports that the mumps vaccine strain contains a specific genetic signature different from wild-type mumps virus. Which of the following best describes the characteristics of live attenuated mumps vaccine strains used globally?</w:t>
      </w:r>
    </w:p>
    <w:p>
      <w:r>
        <w:t>(a) Contains full genomic virulence factors</w:t>
      </w:r>
    </w:p>
    <w:p>
      <w:r>
        <w:t>(b) Contains only viral surface antigens</w:t>
      </w:r>
    </w:p>
    <w:p>
      <w:r>
        <w:t>(c) Genetically modified to contain disabled virulence genes</w:t>
      </w:r>
    </w:p>
    <w:p>
      <w:r>
        <w:t>(d) Contains killed whole virus particles</w:t>
      </w:r>
    </w:p>
    <w:p>
      <w:r>
        <w:t>Answer: c</w:t>
      </w:r>
    </w:p>
    <w:p>
      <w:r>
        <w:t>Solution: Live attenuated mumps vaccine strains (Jeryl Lynn, RIT 4385, Urabe) have undergone serial passage in cell culture leading to genetic changes that reduce virulence while maintaining immunogenicity. These strains have accumulated mutations in genes affecting host cell tropism and virulence factors, particularly in genes encoding nonstructural proteins. The attenuation allows replication sufficient for immune response but insufficient for causing disease. Different vaccine strains have varying attenuation profiles and neurovirulence potential (important for understanding rare vaccine adverse events). This understanding of vaccine strain characteristics is important for nurses discussing vaccine safety and effectiveness with parents concerned about MMR vaccine safety profiles.</w:t>
      </w:r>
    </w:p>
    <w:p>
      <w:r>
        <w:t>Positive Marks: 1</w:t>
      </w:r>
    </w:p>
    <w:p>
      <w:r>
        <w:t>Negative Marks: 0.33</w:t>
      </w:r>
    </w:p>
    <w:p>
      <w:r>
        <w:t>Question: Which diagnostic test can reliably detect HIV infection during the window period when standard antibody tests remain negative?</w:t>
      </w:r>
    </w:p>
    <w:p>
      <w:r>
        <w:t>(a) HIV RNA PCR (viral load test) or p24 antigen test</w:t>
      </w:r>
    </w:p>
    <w:p>
      <w:r>
        <w:t>(b) ELISA (IgG antibody only)</w:t>
      </w:r>
    </w:p>
    <w:p>
      <w:r>
        <w:t>(c) Rapid antibody test</w:t>
      </w:r>
    </w:p>
    <w:p>
      <w:r>
        <w:t>(d) Immunoblot (Western blot) test</w:t>
      </w:r>
    </w:p>
    <w:p>
      <w:r>
        <w:t>Answer: a</w:t>
      </w:r>
    </w:p>
    <w:p>
      <w:r>
        <w:t>Solution: HIV RNA PCR (viral load testing) and p24 antigen tests can detect HIV during the window period when standard antibody tests remain falsely negative. Standard antibody tests (rapid tests, ELISA, Western blot) rely on immune response and cannot detect infection until seroconversion occurs (typically 2-4 weeks). Fourth-generation Ag/Ab combination tests significantly shorten the window period by detecting p24 antigen alongside antibodies. HIV RNA PCR can detect infection within 7-14 days of exposure and is increasingly used in acute care settings and occupational medicine. Understanding these diagnostic capabilities is crucial for identifying acutely infected individuals who are highly infectious. Modern testing algorithms should include antigen or nucleic acid testing when standard antibody tests are negative but acute infection is suspected.</w:t>
      </w:r>
    </w:p>
    <w:p>
      <w:r>
        <w:t>Positive Marks: 1</w:t>
      </w:r>
    </w:p>
    <w:p>
      <w:r>
        <w:t>Negative Marks: 0.33</w:t>
      </w:r>
    </w:p>
    <w:p>
      <w:r>
        <w:t>Question: The protein shell that directly surrounds and protects viral nucleic acid is called the:</w:t>
      </w:r>
    </w:p>
    <w:p>
      <w:r>
        <w:t>(a) Envelope, composed primarily of lipids from host cell membrane</w:t>
      </w:r>
    </w:p>
    <w:p>
      <w:r>
        <w:t>(b) Capsid, composed of multiple protein subunits called capsomers</w:t>
      </w:r>
    </w:p>
    <w:p>
      <w:r>
        <w:t>(c) Pilus, an appendage for attachment to host cells</w:t>
      </w:r>
    </w:p>
    <w:p>
      <w:r>
        <w:t>(d) Nucleoid, a bacterial-like structure organizing viral DNA</w:t>
      </w:r>
    </w:p>
    <w:p>
      <w:r>
        <w:t>Answer: b</w:t>
      </w:r>
    </w:p>
    <w:p>
      <w:r>
        <w:t>Solution: The viral capsid is the protein coat composed of multiple copies of protein molecules (protomers) assembled into structural units called capsomers. The envelope (a) is lipid material surrounding some capsids; nucleoid (d) is bacterial; pilus (c) is a bacterial structure. The capsid provides shape, protection, and recognition functions essential to viral architecture. Mnemonic: Capsid = Capping proteins = Protein coat.</w:t>
      </w:r>
    </w:p>
    <w:p>
      <w:r>
        <w:t>Positive Marks: 1</w:t>
      </w:r>
    </w:p>
    <w:p>
      <w:r>
        <w:t>Negative Marks: 0.33</w:t>
      </w:r>
    </w:p>
    <w:p>
      <w:r>
        <w:t>Question: A 28-year-old healthcare worker with occupational exposure receives HBV vaccination series. Which antibody response indicates adequate protective immunity?</w:t>
      </w:r>
    </w:p>
    <w:p>
      <w:r>
        <w:t>(a) HBeAg positivity with detectable viral load</w:t>
      </w:r>
    </w:p>
    <w:p>
      <w:r>
        <w:t>(b) Anti-HBs titer &gt; 10 mIU/mL</w:t>
      </w:r>
    </w:p>
    <w:p>
      <w:r>
        <w:t>(c) Anti-HBc titer &gt; 100 mIU/mL</w:t>
      </w:r>
    </w:p>
    <w:p>
      <w:r>
        <w:t>(d) HBsAg &gt; 100 units/mL</w:t>
      </w:r>
    </w:p>
    <w:p>
      <w:r>
        <w:t>Answer: b</w:t>
      </w:r>
    </w:p>
    <w:p>
      <w:r>
        <w:t>Solution: Protective anti-HBs titer of ≥10 mIU/mL indicates adequate vaccination response and immunity to HBV infection, with higher titers (&gt;100 mIU/mL) providing more durable protection. Anti-HBc indicates prior infection, not vaccination response. HBsAg and HBeAg indicate active infection, not immunity. Approximately 95% of healthy adults develop protective antibodies after complete HBV vaccine series. For nursing occupational health, post-vaccination testing at 1-2 months confirms response; non-responders (5%) may need revaccination or require enhanced precautions and immediate post-exposure prophylaxis if exposed.</w:t>
      </w:r>
    </w:p>
    <w:p>
      <w:r>
        <w:t>Positive Marks: 1</w:t>
      </w:r>
    </w:p>
    <w:p>
      <w:r>
        <w:t>Negative Marks: 0.33</w:t>
      </w:r>
    </w:p>
    <w:p>
      <w:r>
        <w:t>Question: Poliovirus primarily replicates in which anatomical location before causing paralysis?</w:t>
      </w:r>
    </w:p>
    <w:p>
      <w:r>
        <w:t>(a) Cerebral cortex</w:t>
      </w:r>
    </w:p>
    <w:p>
      <w:r>
        <w:t>(b) Dorsal root ganglia</w:t>
      </w:r>
    </w:p>
    <w:p>
      <w:r>
        <w:t>(c) Anterior horn cells of spinal cord</w:t>
      </w:r>
    </w:p>
    <w:p>
      <w:r>
        <w:t>(d) Brainstem nuclei</w:t>
      </w:r>
    </w:p>
    <w:p>
      <w:r>
        <w:t>Answer: c</w:t>
      </w:r>
    </w:p>
    <w:p>
      <w:r>
        <w:t>Solution: Poliovirus selectively destroys motor neurons in the anterior horn of the spinal cord (gray matter), causing paralysis. Dorsal root ganglia contain sensory neurons, which are not affected. The cerebral cortex and brainstem are not the primary sites of poliovirus pathology. This selective tropism for motor neurons is the hallmark of poliomyelitis pathogenesis.</w:t>
      </w:r>
    </w:p>
    <w:p>
      <w:r>
        <w:t>Positive Marks: 1</w:t>
      </w:r>
    </w:p>
    <w:p>
      <w:r>
        <w:t>Negative Marks: 0.33</w:t>
      </w:r>
    </w:p>
    <w:p>
      <w:r>
        <w:t>Question: Chikungunya virus belongs to which viral family and genus?</w:t>
      </w:r>
    </w:p>
    <w:p>
      <w:r>
        <w:t>(a) Bunyaviridae, genus Hantavirus</w:t>
      </w:r>
    </w:p>
    <w:p>
      <w:r>
        <w:t>(b) Arenaviridae, genus Arenavirus</w:t>
      </w:r>
    </w:p>
    <w:p>
      <w:r>
        <w:t>(c) Togaviridae, genus Alphavirus</w:t>
      </w:r>
    </w:p>
    <w:p>
      <w:r>
        <w:t>(d) Flaviviridae, genus Flavivirus</w:t>
      </w:r>
    </w:p>
    <w:p>
      <w:r>
        <w:t>Answer: c</w:t>
      </w:r>
    </w:p>
    <w:p>
      <w:r>
        <w:t>Solution: Chikungunya is an alphavirus in the Togaviridae family, while dengue is a flavivirus. Bunyaviruses include Crimean-Congo fever virus, and arenaviruses include Lassa fever. This taxonomic distinction is important for understanding viral replication mechanisms and epidemiology. Alphaviruses are enveloped RNA viruses with arthropod vectors showing typical arboviral characteristics.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